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tblW w:w="10512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90"/>
        <w:gridCol w:w="240"/>
        <w:gridCol w:w="8082"/>
        <w:tblGridChange w:id="0">
          <w:tblGrid>
            <w:gridCol w:w="2190"/>
            <w:gridCol w:w="240"/>
            <w:gridCol w:w="808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nsolas" w:cs="Consolas" w:eastAsia="Consolas" w:hAnsi="Consolas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MICHELLE HLOOMBERG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123.456.78.99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info@hloom.com</w:t>
            </w:r>
          </w:p>
          <w:p w:rsidR="00000000" w:rsidDel="00000000" w:rsidP="00000000" w:rsidRDefault="00000000" w:rsidRPr="00000000" w14:paraId="0000000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www.hloom.com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WORKEXPERIENCE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082"/>
              </w:tabs>
              <w:spacing w:after="0" w:before="0" w:line="26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DIRECTOR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2011 to present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Global Holdings International LLC - Chicago, IL</w:t>
              <w:tab/>
            </w:r>
          </w:p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Collaboratively administrate turnkey channels whereas virtual e-tailers. Objectively seize scalable metrics whereas proactive e-services. Seamlessly empower fully researched growth strategies and interoperable internal or "organic" sources. Globally incubate standards compliant channels before scalable benefits.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082"/>
              </w:tabs>
              <w:spacing w:after="0" w:before="0" w:line="26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MANAGER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2009 to 2011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Jackson International LLC - Orlando, FL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Collaboratively administrate turnkey channels whereas virtual e-tailers. Objectively seize scalable metrics whereas proactive e-services. Seamlessly empower fully researched growth strategies and interoperable internal or "organic" sources.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082"/>
              </w:tabs>
              <w:spacing w:after="0" w:before="0" w:line="26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ASSISTANT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2005 to 2009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Lakewood Wholesale - Lakewood, FL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Interactively procrastinate high-payoff content without backward-compatible data. Quickly cultivate optimal processes and tactical architectures. Completely iterate covalent strategic theme areas via accurate e-markets.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082"/>
              </w:tabs>
              <w:spacing w:after="0" w:before="0" w:line="26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Art from Orlando State University</w:t>
              <w:tab/>
              <w:t xml:space="preserve">2002 – 2011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082"/>
              </w:tabs>
              <w:spacing w:after="0" w:before="0" w:line="26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BFA in Communication Design from  Yale University</w:t>
              <w:tab/>
              <w:t xml:space="preserve">2000 – 2004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Donecblanditfeugiatonec, Donecutest in lectusEtiameget, Aliquameratvolutpatedatlorem, Proinnecauguequisquealiquam, Temporgellentesque habitant, Nunc ac magna faecenasodio, Pellentesquecursusdellentesqu, Cras non magna vamus a mi, Crediblyinnovategranular, Quicklycultivate optimal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360" w:top="907" w:left="864" w:right="864" w:header="720" w:footer="144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nsolas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2"/>
        <w:szCs w:val="22"/>
        <w:lang w:val="en-US"/>
      </w:rPr>
    </w:rPrDefault>
    <w:pPrDefault>
      <w:pPr>
        <w:spacing w:after="200" w:line="2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000000" w:space="14" w:sz="8" w:val="single"/>
      </w:pBdr>
      <w:spacing w:after="280" w:lineRule="auto"/>
      <w:jc w:val="left"/>
    </w:pPr>
    <w:rPr>
      <w:rFonts w:ascii="Consolas" w:cs="Consolas" w:eastAsia="Consolas" w:hAnsi="Consola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