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br w:type="textWrapping"/>
        <w:t xml:space="preserve">HLOOM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3e7aa2"/>
          <w:sz w:val="60"/>
          <w:szCs w:val="60"/>
          <w:u w:val="none"/>
          <w:shd w:fill="auto" w:val="clear"/>
          <w:vertAlign w:val="baseline"/>
          <w:rtl w:val="0"/>
        </w:rPr>
        <w:t xml:space="preserve">ANDERSON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Versatile and solutions-driven professional with outstanding strategic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CRASCONDI MENTUMODIO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123-456-78 99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info@hloom.com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www.hloom.com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Donec in porta tortor. Suspendisse in nunc sitametloremfacilisisvariusegetpellentesqueelit. Maurisvel mollis lectus, quis tristique leo. Crascondimentumodio et lectusvolutpat, a temporenimpellentesque. Morbiconvallisfringillasapiensagittistincidunt. Sed justo velit, ornare condimentum quam id, luctus in vestibulum lobortis, mi velit ullamcorper sem, at imperdiet leo sapien id nisl.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6" w:type="first"/>
          <w:pgSz w:h="15840" w:w="12240"/>
          <w:pgMar w:bottom="1008" w:top="1440" w:left="1008" w:right="1008" w:header="864" w:footer="720"/>
          <w:pgNumType w:start="1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KEY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 in porta tortor. Suspendisse in nunc sitametloremfacilisisvariusegetpellentesqueelit. Maurisvel mollis lectus, quis tristique leo. Crascondimentumodioetlectusvolutpat, a temporenim.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504" w:right="0" w:hanging="14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Quickly communicate enabled technology and turnkey leadership skills. Uniquely enable accurate supply chains rather than frictionless technology. Globally network focused materials vis-a-vis cost effective manufactured products.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504" w:right="0" w:hanging="14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Enthusiastically leverage existing premium quality vectors with enterprise-wide innovation. Phosfluorescently leverage others enterprise-wide "outside the box" thinking with e-business collaboration and idea-sharing. Proactively leverage other resource-leveling convergence rather than inter-mandated networks.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504" w:right="0" w:hanging="14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Rapaciously seize adaptive infomediaries and user-centric intellectual capital. Collaboratively unleash market-driven "outside the box" thinking for long-term high-impact solutions. Enthusiastically engage fully tested process improvements before top-line platforms.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CFO Partners, LLC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Partner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06.2013 – present</w:t>
        <w:tab/>
        <w:t xml:space="preserve">Kierland - Scottsdale, AZ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Globally harness multimedia based collaboration and idea-sharing with backend products. Continually whiteboard superior opportunities via covalent scenarios.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504" w:right="0" w:hanging="14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Collaboratively administrate empowered markets via plug-and-play networks. Dynamically procrastinate B2C users after installed base benefits. Dramatically visualize customer directed convergence without revolutionary ROI.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504" w:right="0" w:hanging="14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Efficiently unleash cross-media information without cross-media value. Quickly maximize timely deliverables for real-time schemas. Dramatically maintain clicks-and-mortar solutions without functional solutions.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504" w:right="0" w:hanging="14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Completely synergize resource sucking relationships via premier niche markets. Professionally cultivate one-to-one customer service with robust ideas. Dynamically innovate resource-leveling customer service for state of the art customer service.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Management Consulting Firm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Chief Financial Officer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04.2008 – 06.2013</w:t>
        <w:tab/>
        <w:t xml:space="preserve">Arlington Heights, IL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504" w:right="0" w:hanging="14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Interactively procrastinate high-payoff content without backward-compatible data. Quickly cultivate optimal processes and tactical architectures. Completely iterate covalent strategic theme areas via accurate e-markets.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504" w:right="0" w:hanging="14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Globally incubate standards compliant channels before scalable benefits. Quickly disseminate superior deliverables whereas web-enabled applications. Quickly drive clicks-and-mortar catalysts for change before vertical architectures.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504" w:right="0" w:hanging="14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Credibly reintermediate backend ideas for cross-platform models. Continually reintermediate integrated processes through technically sound intellectual capital. Holistically foster superior methodologies without market-driven best practices.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504" w:right="0" w:hanging="23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rPr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504" w:right="0" w:hanging="234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B.S., Business Administration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2005, Chicago State University, Chicago, IL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432" w:top="576" w:left="990" w:right="990" w:header="432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04" w:hanging="14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260" w:hanging="216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◼"/>
      <w:lvlJc w:val="left"/>
      <w:pPr>
        <w:ind w:left="230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jc w:val="center"/>
    </w:pPr>
    <w:rPr>
      <w:rFonts w:ascii="Arial" w:cs="Arial" w:eastAsia="Arial" w:hAnsi="Arial"/>
      <w:b w:val="1"/>
      <w:smallCaps w:val="1"/>
      <w:color w:val="3e7aa2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