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Sample Teacher Resume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John Smith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ab/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Secondary Teacher History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100 Main Street Your City, NY 10001 (617)555-1212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Wisconsin College for Teachers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Bachelors of Arts in History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GPA 3.5/4.0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Teaching Skills /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Coursework Design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Individual Instruction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Class Motivation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Classroom Administration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Student Assessments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Differentiated Instruction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Special Needs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Interactive Learning</w:t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Teaching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Created “History Day” at school that was later used as a model for all schools in the district.  History Day was an interactive experience for students to make learning about history more enjoyable.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Recognized as “Teacher of the Year” after only two years in present school district.  There are over seventy teachers eligible for this award each year.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Launched “Little Readers” program aimed at increasing reading proficiency of third graders, while making reading fun.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Teaching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Holy Hills High School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Your City, NY   9/2010 – present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Student Teacher.  Designed and implemented two formal and several informal class lessons for 12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grade Advanced Placement American History students.  Developed African History program for 9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grade classes.  Led class discussions, organized and graded homework assignments, test, and term papers.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Woodward Lane Elementary School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My City, NY 9/2007 – 6/2010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Student Teacher.  Created whole class lessons in American and European history.  Responsibilities included the supervision of students in athletic and academic activities.  Students varied in age from 7 to 14 years.  Served as full time teacher responsible for implementing lesson plans and daily activities.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2"/>
            <w:szCs w:val="22"/>
            <w:u w:val="single"/>
            <w:vertAlign w:val="baseline"/>
            <w:rtl w:val="0"/>
          </w:rPr>
          <w:t xml:space="preserve">Copyright © 2007 – 2015 Money-zine.com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864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oney-z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