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Rockwell" w:cs="Rockwell" w:eastAsia="Rockwell" w:hAnsi="Rockwel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br w:type="textWrapping"/>
        <w:t xml:space="preserve">JOHN HLOOM</w:t>
      </w:r>
    </w:p>
    <w:tbl>
      <w:tblPr>
        <w:tblStyle w:val="Table1"/>
        <w:tblW w:w="11016.0" w:type="dxa"/>
        <w:jc w:val="center"/>
        <w:tblBorders>
          <w:top w:color="000000" w:space="0" w:sz="8" w:val="dotted"/>
          <w:bottom w:color="000000" w:space="0" w:sz="8" w:val="dotted"/>
          <w:insideH w:color="000000" w:space="0" w:sz="8" w:val="dotted"/>
          <w:insideV w:color="000000" w:space="0" w:sz="8" w:val="dotted"/>
        </w:tblBorders>
        <w:tblLayout w:type="fixed"/>
        <w:tblLook w:val="0000"/>
      </w:tblPr>
      <w:tblGrid>
        <w:gridCol w:w="2204"/>
        <w:gridCol w:w="2899"/>
        <w:gridCol w:w="3428"/>
        <w:gridCol w:w="2485"/>
        <w:tblGridChange w:id="0">
          <w:tblGrid>
            <w:gridCol w:w="2204"/>
            <w:gridCol w:w="2899"/>
            <w:gridCol w:w="3428"/>
            <w:gridCol w:w="2485"/>
          </w:tblGrid>
        </w:tblGridChange>
      </w:tblGrid>
      <w:tr>
        <w:trPr>
          <w:trHeight w:val="760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LINKEDIN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j.hloom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WEBSITE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www.hloom.com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info@hloom.com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TELEPHONE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123-456-7899</w:t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>
          <w:rFonts w:ascii="Clarendon" w:cs="Clarendon" w:eastAsia="Clarendon" w:hAnsi="Clarendo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Rockwell" w:cs="Rockwell" w:eastAsia="Rockwell" w:hAnsi="Rockwell"/>
          <w:b w:val="1"/>
          <w:i w:val="0"/>
          <w:smallCaps w:val="1"/>
          <w:strike w:val="0"/>
          <w:color w:val="bdb8ad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Rockwell" w:cs="Rockwell" w:eastAsia="Rockwell" w:hAnsi="Rockwell"/>
          <w:b w:val="1"/>
          <w:i w:val="0"/>
          <w:smallCaps w:val="1"/>
          <w:strike w:val="0"/>
          <w:color w:val="bdb8ad"/>
          <w:sz w:val="42"/>
          <w:szCs w:val="42"/>
          <w:u w:val="none"/>
          <w:shd w:fill="auto" w:val="clear"/>
          <w:vertAlign w:val="baseline"/>
          <w:rtl w:val="0"/>
        </w:rPr>
        <w:t xml:space="preserve">Quisque quam massa, tempus non quam et, eleifend fringilla elit. Cras metus ipsum, tincidunt vitae vehicula a, blandit in nisi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Rockwell" w:cs="Rockwell" w:eastAsia="Rockwell" w:hAnsi="Rockwell"/>
          <w:b w:val="1"/>
          <w:smallCaps w:val="1"/>
          <w:color w:val="bdb8ad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PELLENTESQUE PORTTITOR ▪ CRAS NON MAGNA ▪ VIVAMUS AMI ▪ MORBI NEQUE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SUMMARY OF QUALIFICATIONS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Donecutest in lectusconsequatconsequat.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Etiameget dui.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Aliquameratvolutpat.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 at lorem in nuncportatristique.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Proinnecaugue.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Quisquealiquamtempor magna.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Pellentesque habitant morbitristiquesenectusetnetus et malesuadafamesacturpisegestas.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Nunc ac magna.</w:t>
      </w:r>
    </w:p>
    <w:p w:rsidR="00000000" w:rsidDel="00000000" w:rsidP="00000000" w:rsidRDefault="00000000" w:rsidRPr="00000000" w14:paraId="00000017">
      <w:pPr>
        <w:pStyle w:val="Heading1"/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right" w:pos="10800"/>
        </w:tabs>
        <w:spacing w:after="0" w:before="12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2011 - 2013</w:t>
        <w:tab/>
        <w:t xml:space="preserve">SALES AND MARKETING DIRECTOR</w:t>
        <w:tab/>
        <w:t xml:space="preserve">GREAT COMPANY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Sedornare pellentesq ueerosquisgravid aenimtristiquerhoncus. Aliquamconvallis, massa vitae tinciduntaliquam, nibhrisust empustortor, quisportavelitlectussedtellus,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right" w:pos="10800"/>
        </w:tabs>
        <w:spacing w:after="0" w:before="12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2009 - 2011</w:t>
        <w:tab/>
        <w:t xml:space="preserve">MARKETING MANAGER</w:t>
        <w:tab/>
        <w:t xml:space="preserve">AWESOME COMPANY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right" w:pos="10800"/>
        </w:tabs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Nullamnisimauris, rhoncusetenimnec, pellente squeullamcorpererat. Vivamuslobortis.</w:t>
      </w: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Nullamnisimauris, rhoncusetenimnec, pellente squeullamcorpererat. Vivamuslobortis.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right" w:pos="10800"/>
        </w:tabs>
        <w:spacing w:after="0" w:before="12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2005 - 2011</w:t>
        <w:tab/>
        <w:t xml:space="preserve">SALES ASSISTANT</w:t>
        <w:tab/>
        <w:t xml:space="preserve">ANOTHER COMPANY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Sedornare pellentesq ueerosquisgravid aenimtristiquerhoncus. Aliquamconvallis, massa vitae tinciduntaliquam, nibhrisust empustortor, quisportavelitlectussedtellus.</w:t>
      </w:r>
    </w:p>
    <w:p w:rsidR="00000000" w:rsidDel="00000000" w:rsidP="00000000" w:rsidRDefault="00000000" w:rsidRPr="00000000" w14:paraId="0000001E">
      <w:pPr>
        <w:pStyle w:val="Heading1"/>
        <w:rPr/>
      </w:pPr>
      <w:r w:rsidDel="00000000" w:rsidR="00000000" w:rsidRPr="00000000">
        <w:rPr>
          <w:rtl w:val="0"/>
        </w:rPr>
        <w:t xml:space="preserve">Education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right" w:pos="10800"/>
        </w:tabs>
        <w:spacing w:after="0" w:before="12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2005</w:t>
        <w:tab/>
        <w:t xml:space="preserve">MICHIGAN STATE UNIVERSITY</w:t>
        <w:tab/>
        <w:t xml:space="preserve">MICHIGAN, MI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60"/>
          <w:tab w:val="right" w:pos="10800"/>
        </w:tabs>
        <w:spacing w:after="0" w:before="12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</w:t>
        <w:tab/>
        <w:t xml:space="preserve">BATAVIA HIGH SCHOOL</w:t>
        <w:tab/>
        <w:t xml:space="preserve">BATAVIA, MI</w:t>
      </w:r>
    </w:p>
    <w:p w:rsidR="00000000" w:rsidDel="00000000" w:rsidP="00000000" w:rsidRDefault="00000000" w:rsidRPr="00000000" w14:paraId="00000021">
      <w:pPr>
        <w:pStyle w:val="Heading1"/>
        <w:rPr/>
      </w:pPr>
      <w:r w:rsidDel="00000000" w:rsidR="00000000" w:rsidRPr="00000000">
        <w:rPr>
          <w:rtl w:val="0"/>
        </w:rPr>
        <w:t xml:space="preserve">Career Skills</w:t>
      </w:r>
    </w:p>
    <w:p w:rsidR="00000000" w:rsidDel="00000000" w:rsidP="00000000" w:rsidRDefault="00000000" w:rsidRPr="00000000" w14:paraId="00000022">
      <w:pPr>
        <w:pStyle w:val="Heading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Pellentesque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Pellentesqueporttitor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Cras non magna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Vivamusami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Morbineque</w:t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Aliquame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 ac ligula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Aliquam at eros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Etiamatligula et tellusullamcorperultrices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fermentum, lorem non cursusporttitor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5840" w:w="12240"/>
      <w:pgMar w:bottom="720" w:top="720" w:left="720" w:right="720" w:header="864" w:footer="86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  <w:font w:name="Noto Sans Symbols"/>
  <w:font w:name="Rockwell"/>
  <w:font w:name="Clarendo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1016.0" w:type="dxa"/>
      <w:jc w:val="left"/>
      <w:tblInd w:w="-1152.0" w:type="dxa"/>
      <w:tblBorders>
        <w:insideV w:color="000000" w:space="0" w:sz="4" w:val="single"/>
      </w:tblBorders>
      <w:tblLayout w:type="fixed"/>
      <w:tblLook w:val="0400"/>
    </w:tblPr>
    <w:tblGrid>
      <w:gridCol w:w="1152"/>
      <w:gridCol w:w="9864"/>
      <w:tblGridChange w:id="0">
        <w:tblGrid>
          <w:gridCol w:w="1152"/>
          <w:gridCol w:w="9864"/>
        </w:tblGrid>
      </w:tblGridChange>
    </w:tblGrid>
    <w:tr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680"/>
              <w:tab w:val="right" w:pos="936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John Hloom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000000" w:space="10" w:sz="8" w:val="dotted"/>
      </w:pBdr>
      <w:spacing w:after="120" w:before="200" w:line="240" w:lineRule="auto"/>
      <w:jc w:val="center"/>
    </w:pPr>
    <w:rPr>
      <w:rFonts w:ascii="Rockwell" w:cs="Rockwell" w:eastAsia="Rockwell" w:hAnsi="Rockwell"/>
      <w:b w:val="1"/>
      <w:smallCaps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spacing w:after="60" w:before="240" w:line="240" w:lineRule="auto"/>
    </w:pPr>
    <w:rPr>
      <w:rFonts w:ascii="Rockwell" w:cs="Rockwell" w:eastAsia="Rockwell" w:hAnsi="Rockwell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