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1072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858"/>
        <w:gridCol w:w="3870"/>
        <w:tblGridChange w:id="0">
          <w:tblGrid>
            <w:gridCol w:w="6858"/>
            <w:gridCol w:w="387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Title"/>
              <w:rPr/>
            </w:pPr>
            <w:r w:rsidDel="00000000" w:rsidR="00000000" w:rsidRPr="00000000">
              <w:rPr>
                <w:rtl w:val="0"/>
              </w:rPr>
              <w:t xml:space="preserve">JOHN HLOOMBERG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HUMAN RESOURCES PROFESSIONAL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123 Park Avenue, Michigan MI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info@hloom.com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(123) 456 7899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11.0" w:type="dxa"/>
        <w:jc w:val="left"/>
        <w:tblInd w:w="0.0" w:type="pct"/>
        <w:tblLayout w:type="fixed"/>
        <w:tblLook w:val="0000"/>
      </w:tblPr>
      <w:tblGrid>
        <w:gridCol w:w="740"/>
        <w:gridCol w:w="9771"/>
        <w:tblGridChange w:id="0">
          <w:tblGrid>
            <w:gridCol w:w="740"/>
            <w:gridCol w:w="9771"/>
          </w:tblGrid>
        </w:tblGridChange>
      </w:tblGrid>
      <w:tr>
        <w:trPr>
          <w:trHeight w:val="560" w:hRule="atLeast"/>
        </w:trPr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0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Human Resources Experience</w:t>
            </w:r>
          </w:p>
        </w:tc>
      </w:tr>
      <w:tr>
        <w:tc>
          <w:tcPr>
            <w:tcBorders>
              <w:right w:color="3e7aa2" w:space="0" w:sz="24" w:val="single"/>
            </w:tcBorders>
            <w:tcMar>
              <w:left w:w="0.0" w:type="dxa"/>
            </w:tcMar>
          </w:tcPr>
          <w:p w:rsidR="00000000" w:rsidDel="00000000" w:rsidP="00000000" w:rsidRDefault="00000000" w:rsidRPr="00000000" w14:paraId="0000000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e7aa2" w:space="0" w:sz="2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Resources Manager,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Bethany Services, Grand Rapids, MI, 2009 – present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Sr. Human Resources Consultant,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Hillcrest Homes, Grand Rapids, MI, 1995 – 1996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Interactively procrastinate high-payoff content without backward-compatible data. Quickly cultivate optimal processes and tactical architectures. Completely iterate covalent strategic theme areas via accurate e-markets.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Resources Director,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Sealed Corporation, Zeeland, MI, 1985 – 1995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Globally incubate standards compliant channels before scalable benefits. Quickly disseminate superior deliverables whereas web-enabled applications. Quickly drive clicks-and-mortar catalysts for change before vertical architectures. 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Resources Generalist,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Hillcrest Homes, Grand Rapids, MI, 1995 – 1996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Credibly reiontermediate backend ideas for cross-platform models. Continually reintermediate integrated processes through technically sound intellectual capital. Holistically foster superior methodologies without market-driven best practices.  </w:t>
            </w:r>
          </w:p>
        </w:tc>
      </w:tr>
      <w:tr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1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1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Other Experience</w:t>
            </w:r>
          </w:p>
        </w:tc>
      </w:tr>
      <w:tr>
        <w:tc>
          <w:tcPr>
            <w:tcBorders>
              <w:right w:color="3e7aa2" w:space="0" w:sz="24" w:val="single"/>
            </w:tcBorders>
            <w:tcMar>
              <w:left w:w="0.0" w:type="dxa"/>
            </w:tcMar>
          </w:tcPr>
          <w:p w:rsidR="00000000" w:rsidDel="00000000" w:rsidP="00000000" w:rsidRDefault="00000000" w:rsidRPr="00000000" w14:paraId="0000001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e7aa2" w:space="0" w:sz="2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Hillcrest Homes, Grand Rapids, MI, 1995 – 1998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Distinctively exploit optimal alignments for intuitive bandwidth. Quickly coordinate e-business applications through revolutionary catalysts for change. Seamlessly underwhelm optimal testing procedures whereas bricks-and-clicks processes.  </w:t>
            </w:r>
          </w:p>
        </w:tc>
      </w:tr>
      <w:tr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1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2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left w:w="0.0" w:type="dxa"/>
            </w:tcMar>
          </w:tcPr>
          <w:p w:rsidR="00000000" w:rsidDel="00000000" w:rsidP="00000000" w:rsidRDefault="00000000" w:rsidRPr="00000000" w14:paraId="0000002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tcBorders>
              <w:right w:color="3e7aa2" w:space="0" w:sz="24" w:val="single"/>
            </w:tcBorders>
            <w:tcMar>
              <w:left w:w="0.0" w:type="dxa"/>
            </w:tcMar>
          </w:tcPr>
          <w:p w:rsidR="00000000" w:rsidDel="00000000" w:rsidP="00000000" w:rsidRDefault="00000000" w:rsidRPr="00000000" w14:paraId="00000024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3e7aa2" w:space="0" w:sz="24" w:val="single"/>
            </w:tcBorders>
            <w:tcMar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A.S. in Business Management 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Donec in portatortor. Suspendisse in nuncsitametloremfacilisisvariusegetpellentesqueelit. Maurisvelmollislectus, quistristiqueleo.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Certificate in Human Resources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consecteturadipiscingelit. Maurissagittistortornecturpisfermentum, euegestasipsumeleifend.</w:t>
            </w:r>
          </w:p>
        </w:tc>
      </w:tr>
      <w:tr>
        <w:tc>
          <w:tcPr>
            <w:gridSpan w:val="2"/>
            <w:tcMar>
              <w:left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864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</w:pPr>
    <w:rPr>
      <w:smallCaps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60.0" w:type="dxa"/>
        <w:bottom w:w="0.0" w:type="dxa"/>
        <w:right w:w="3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