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80"/>
        </w:tabs>
        <w:ind w:left="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432" w:right="432" w:hanging="432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295e71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295e71"/>
          <w:sz w:val="52"/>
          <w:szCs w:val="52"/>
          <w:u w:val="none"/>
          <w:shd w:fill="auto" w:val="clear"/>
          <w:vertAlign w:val="baseline"/>
          <w:rtl w:val="0"/>
        </w:rPr>
        <w:t xml:space="preserve">Mary Hloom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45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Redwood City, CA 94063 | 123-456-7899 | info@hloom.com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50" w:right="0" w:hanging="45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pos="0"/>
          <w:tab w:val="right" w:pos="7560"/>
          <w:tab w:val="right" w:pos="8730"/>
        </w:tabs>
        <w:rPr/>
      </w:pP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Quisq uetincidunt, massa vitae rutrumcursus, nunct elluselemen tumquam, et ornaretellus erat et lacus. Maecen asrhonc usaliqu etsollicitudin. Integ in diam quiseratsagit tisporttitoreuqu islectus. Pellentesqu epharetrahendre ritligula, ege.</w:t>
      </w:r>
    </w:p>
    <w:p w:rsidR="00000000" w:rsidDel="00000000" w:rsidP="00000000" w:rsidRDefault="00000000" w:rsidRPr="00000000" w14:paraId="00000008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left" w:pos="0"/>
          <w:tab w:val="right" w:pos="7560"/>
          <w:tab w:val="right" w:pos="8730"/>
        </w:tabs>
        <w:rPr/>
      </w:pP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  <w:t xml:space="preserve">WORK EXPERIENCE </w:t>
      </w: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March 05 – Oct 05</w:t>
        <w:tab/>
        <w:t xml:space="preserve">GENERAL ADMINISTRATOR</w:t>
        <w:tab/>
      </w:r>
    </w:p>
    <w:p w:rsidR="00000000" w:rsidDel="00000000" w:rsidP="00000000" w:rsidRDefault="00000000" w:rsidRPr="00000000" w14:paraId="0000000D">
      <w:pPr>
        <w:tabs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Summer Fashion</w:t>
      </w:r>
    </w:p>
    <w:p w:rsidR="00000000" w:rsidDel="00000000" w:rsidP="00000000" w:rsidRDefault="00000000" w:rsidRPr="00000000" w14:paraId="0000000E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3600" w:right="432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Sedornare pellentesq ueerosquis gravid aenimtr istiquerhoncus. Aliq uamconvallis, massa vitae tinciduntaliquam, nibhrisust empustortor, quispo rtavel itlectussedtellus.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3600" w:right="432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 nisimauris, rhoncu setenimnec, pellente squeullamcorpererat. Viva muslobortis nibhacnull alacini avolutpat.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3600" w:right="432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12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Jan 05 – Oct 05</w:t>
        <w:tab/>
        <w:t xml:space="preserve">Intern</w:t>
        <w:tab/>
      </w:r>
    </w:p>
    <w:p w:rsidR="00000000" w:rsidDel="00000000" w:rsidP="00000000" w:rsidRDefault="00000000" w:rsidRPr="00000000" w14:paraId="00000015">
      <w:pPr>
        <w:tabs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Purple Clothing</w:t>
      </w:r>
    </w:p>
    <w:p w:rsidR="00000000" w:rsidDel="00000000" w:rsidP="00000000" w:rsidRDefault="00000000" w:rsidRPr="00000000" w14:paraId="00000016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3600" w:right="432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 nisimauris, rhoncu setenimnec, pellente squeullamcorpererat. Viva muslobortis nibhacnull alacini avolutpat.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3600" w:right="432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19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880"/>
        </w:tabs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pStyle w:val="Heading2"/>
        <w:tabs>
          <w:tab w:val="left" w:pos="0"/>
          <w:tab w:val="right" w:pos="7560"/>
          <w:tab w:val="right" w:pos="8730"/>
        </w:tabs>
        <w:rPr/>
      </w:pP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Nov 2007 – Dec 2009</w:t>
        <w:tab/>
        <w:t xml:space="preserve">Bachelor of Science in Life Sciences</w:t>
        <w:tab/>
      </w:r>
    </w:p>
    <w:p w:rsidR="00000000" w:rsidDel="00000000" w:rsidP="00000000" w:rsidRDefault="00000000" w:rsidRPr="00000000" w14:paraId="0000001E">
      <w:pPr>
        <w:tabs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Central Institute of Management Studies</w:t>
      </w:r>
    </w:p>
    <w:p w:rsidR="00000000" w:rsidDel="00000000" w:rsidP="00000000" w:rsidRDefault="00000000" w:rsidRPr="00000000" w14:paraId="0000001F">
      <w:pPr>
        <w:tabs>
          <w:tab w:val="left" w:pos="2880"/>
        </w:tabs>
        <w:rPr>
          <w:strike w:val="1"/>
          <w:color w:val="000000"/>
          <w:vertAlign w:val="baseline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tabs>
          <w:tab w:val="left" w:pos="0"/>
          <w:tab w:val="right" w:pos="7560"/>
          <w:tab w:val="right" w:pos="8730"/>
        </w:tabs>
        <w:rPr/>
      </w:pP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  <w:t xml:space="preserve">Related Skills</w:t>
      </w:r>
      <w:r w:rsidDel="00000000" w:rsidR="00000000" w:rsidRPr="00000000">
        <w:rPr>
          <w:strike w:val="1"/>
          <w:color w:val="3d8da9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Curabitur non eros</w:t>
      </w:r>
    </w:p>
    <w:p w:rsidR="00000000" w:rsidDel="00000000" w:rsidP="00000000" w:rsidRDefault="00000000" w:rsidRPr="00000000" w14:paraId="00000022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Nullamhendrerit</w:t>
      </w:r>
    </w:p>
    <w:p w:rsidR="00000000" w:rsidDel="00000000" w:rsidP="00000000" w:rsidRDefault="00000000" w:rsidRPr="00000000" w14:paraId="00000023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Bibendumjusto</w:t>
      </w:r>
    </w:p>
    <w:p w:rsidR="00000000" w:rsidDel="00000000" w:rsidP="00000000" w:rsidRDefault="00000000" w:rsidRPr="00000000" w14:paraId="00000024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Fusceiaculis</w:t>
      </w:r>
    </w:p>
    <w:p w:rsidR="00000000" w:rsidDel="00000000" w:rsidP="00000000" w:rsidRDefault="00000000" w:rsidRPr="00000000" w14:paraId="00000025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Estquis</w:t>
      </w: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melight">
    <w:embedRegular w:fontKey="{00000000-0000-0000-0000-000000000000}" r:id="rId1" w:subsetted="0"/>
  </w:font>
  <w:font w:name="Twentieth Century"/>
  <w:font w:name="Tahoma">
    <w:embedRegular w:fontKey="{00000000-0000-0000-0000-000000000000}" r:id="rId2" w:subsetted="0"/>
    <w:embedBold w:fontKey="{00000000-0000-0000-0000-000000000000}" r:id="rId3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="/>
      <w:lvlJc w:val="left"/>
      <w:pPr>
        <w:ind w:left="3780" w:hanging="360"/>
      </w:pPr>
      <w:rPr>
        <w:rFonts w:ascii="Noto Sans Symbols" w:cs="Noto Sans Symbols" w:eastAsia="Noto Sans Symbols" w:hAnsi="Noto Sans Symbols"/>
        <w:color w:val="6585c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=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6585cf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tabs>
          <w:tab w:val="left" w:pos="2880"/>
        </w:tabs>
        <w:ind w:left="432" w:righ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Limelight" w:cs="Limelight" w:eastAsia="Limelight" w:hAnsi="Limelight"/>
      <w:b w:val="1"/>
      <w:color w:val="295e71"/>
      <w:sz w:val="52"/>
      <w:szCs w:val="52"/>
    </w:rPr>
  </w:style>
  <w:style w:type="paragraph" w:styleId="Heading2">
    <w:name w:val="heading 2"/>
    <w:basedOn w:val="Normal"/>
    <w:next w:val="Normal"/>
    <w:pPr>
      <w:tabs>
        <w:tab w:val="left" w:pos="0"/>
        <w:tab w:val="right" w:pos="7560"/>
        <w:tab w:val="right" w:pos="8730"/>
      </w:tabs>
      <w:ind w:left="0" w:right="0"/>
    </w:pPr>
    <w:rPr>
      <w:rFonts w:ascii="Twentieth Century" w:cs="Twentieth Century" w:eastAsia="Twentieth Century" w:hAnsi="Twentieth Century"/>
      <w:b w:val="1"/>
      <w:smallCaps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