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3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March 30, 2010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NAME: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David J. Weissmann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 TITLE: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Associate Professor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Department of Pathology and Laboratory Medicine</w:t>
        <w:tab/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Robert Wood Johnson University Hospital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One Robert Wood Johnson Place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Brunswick, NJ 08903-2601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CITIZENSHIP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United State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UNDERGRADUATE EDUCATION: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09/65-06/970</w:t>
        <w:tab/>
        <w:tab/>
        <w:t xml:space="preserve">B.A. in English with a minor in Physics,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Reed College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Portland, OR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GRADUATE EDUCATION: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09/85-06/89</w:t>
        <w:tab/>
        <w:tab/>
        <w:t xml:space="preserve">M.D.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Hahnemann University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Philadelphia, PA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09/8406/85</w:t>
        <w:tab/>
        <w:tab/>
        <w:t xml:space="preserve">Post-Baccalaureate Program in Pre-Medical Studies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Bryn Mawr College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Bryn Mawr, PA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09/73-06/76 </w:t>
        <w:tab/>
        <w:tab/>
        <w:t xml:space="preserve">Ph.D. in English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University of Cincinnati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Cincinnati, OH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09/71-06/73</w:t>
        <w:tab/>
        <w:tab/>
        <w:t xml:space="preserve">M.F.A. in Poetry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University of Iowa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Iowa City, IA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POSTGRADUATE TRAINING: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07/94-06/95</w:t>
        <w:tab/>
        <w:tab/>
        <w:t xml:space="preserve">Fellow in Hematopathology,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Brigham and Women's Hospital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Boston, MA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07/92-06/93</w:t>
        <w:tab/>
        <w:tab/>
        <w:t xml:space="preserve">Research Associate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Molecular Virology, Infectious Disease Unit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Massachusetts General Hospital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Boston, MA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07/89-06/94</w:t>
        <w:tab/>
        <w:tab/>
        <w:t xml:space="preserve">Resident in Anatomic and Clinical Pathology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Massachusetts General Hospital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Boston, MA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ACADEMIC APPOINTMENTS: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07/04 to Present</w:t>
        <w:tab/>
        <w:tab/>
        <w:t xml:space="preserve">Associate Professor of Pathology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Department of Pathology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UMDNJ-RWJMS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Brunswick, NJ 08903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David Weissmann, M.D.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Page 2 of 4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08/00-06/04</w:t>
        <w:tab/>
        <w:tab/>
        <w:t xml:space="preserve">Assistant Professor of Pathology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Department of Pathology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UMDNJ-RWJMS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Brunswick, NJ 08903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0795-06/99</w:t>
        <w:tab/>
        <w:tab/>
        <w:t xml:space="preserve">Assistant Professor of Pathology and Hematopathologist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Department of Pathology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State University of New York Medical Center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Stony Brook, NY 11794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HOSPITAL APPOINTMENTS: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08/00 to Present</w:t>
        <w:tab/>
        <w:tab/>
        <w:t xml:space="preserve">Staff Pathologist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Robert Wood Johnson University Hospital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Brunswick, NJ  08903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07/95-06/99</w:t>
        <w:tab/>
        <w:tab/>
        <w:t xml:space="preserve">Staff Pathologist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Department of Pathology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University Hospital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Stony Brook, NY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 EMPLOYMENT: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06/99-07/00</w:t>
        <w:tab/>
        <w:tab/>
        <w:t xml:space="preserve">Bioinformatics Research,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Cold Spring Harbor Laboratory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Cold Spring Harbor, NY 11724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07/84-08/84</w:t>
        <w:tab/>
        <w:tab/>
        <w:t xml:space="preserve">Laboratory Instructor in Physics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Bryn Mawr College, Bryn Mawr, PA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07/83-06/84</w:t>
        <w:tab/>
        <w:tab/>
        <w:t xml:space="preserve">Technical Writer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IBM, San Jose, CA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07/76-06/80</w:t>
        <w:tab/>
        <w:tab/>
        <w:t xml:space="preserve">Instructor in English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Clermont College, Clermont, Ohio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LICENSURE: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Current</w:t>
        <w:tab/>
        <w:tab/>
        <w:tab/>
        <w:t xml:space="preserve">NJ Medical License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CERTIFICATION: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05/95</w:t>
        <w:tab/>
        <w:tab/>
        <w:tab/>
        <w:t xml:space="preserve">Qualification in Anatomic and Clinical Pathology, American Board of Pathology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08/96</w:t>
        <w:tab/>
        <w:tab/>
        <w:tab/>
        <w:t xml:space="preserve">Special Qualification in Hematology, American Board of Pathology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PROFESSIONAL ORGANIZATIONS AND COMMITTEES OF THESE: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1987 to Present</w:t>
        <w:tab/>
        <w:tab/>
        <w:t xml:space="preserve">Alpha Omega Alpha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1996 to Present</w:t>
        <w:tab/>
        <w:tab/>
        <w:t xml:space="preserve">American Society of Clinical Pathologists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1996 to Present</w:t>
        <w:tab/>
        <w:tab/>
        <w:t xml:space="preserve">American Society of Hematology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1996 to Present</w:t>
        <w:tab/>
        <w:tab/>
        <w:t xml:space="preserve">Society of Hematopathology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HONORS AND AWARDS: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07/97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State University of New York at Stony Brook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1998 </w:t>
        <w:tab/>
        <w:tab/>
        <w:tab/>
        <w:t xml:space="preserve">Innovative Teaching Award and Presidential Minigrant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David Weissmann, M.D.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Page 3 of 4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Hahnemann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07/85-06/89</w:t>
        <w:tab/>
        <w:tab/>
        <w:t xml:space="preserve">Dean's Merit Scholarship (2/3's tuition)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05/89</w:t>
        <w:tab/>
        <w:tab/>
        <w:tab/>
        <w:t xml:space="preserve">Graduation Prizes for Neurology and Highest National Boards I Scores</w:t>
        <w:tab/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01/87</w:t>
        <w:tab/>
        <w:tab/>
        <w:tab/>
        <w:t xml:space="preserve">AOA, Junior Year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11/86</w:t>
        <w:tab/>
        <w:tab/>
        <w:tab/>
        <w:t xml:space="preserve">McGrawHill Award for Highest Standing in Medical School Freshman Class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07/84</w:t>
        <w:tab/>
        <w:tab/>
        <w:tab/>
        <w:t xml:space="preserve">Fulbright Fellowship to teach English in Liberia (declined)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Stanford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07/80-05/83</w:t>
        <w:tab/>
        <w:tab/>
        <w:t xml:space="preserve">Jones Lectureship in Poetry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07/79-06/80</w:t>
        <w:tab/>
        <w:tab/>
        <w:t xml:space="preserve">Stegner Fellowship in Poetry`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EDITORIAL POSITIONS: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N/A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SERVICE ON NATIONAL GRANT REVIEW PANELS, STUDY SECTIONS, COMITTEES: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N/A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SERVICE ON UNIVERSITY OF MEDICINE AND DENTISTRY OF NEW JERSEY COMMITTEES: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SERVICE ON SCHOOL COMMITTEES: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SERVICE ON GRADUATE SCHOOL COMMITTEES: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N/A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SERVICE ON UMDNJ AFFILIATED HOSPITAL COMMITTEES: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N/A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SERVICE TO THE COMMUNITY: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SPONSORSHIP OF CANDIDATES FOR POSTGRADUATE DEGREE: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N/a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TEACHING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1977 </w:t>
        <w:tab/>
        <w:tab/>
        <w:tab/>
        <w:t xml:space="preserve">Hodgkins' Disease for the General Surgical Pathologist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Presentation to the Suffolk Count Pathology Society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Hematopathology training for pathology residents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Blood systems in pathology, hematologic laboratory medicine, and hematopathology clinicopathologic correlations seminar for medical students.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Hematological malignancies in pathophysiology for allied health professionals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CLINICAL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GRANT SUPPORT: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N/A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Sriganeshan, V., Blom, T.R.,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Weissmann, 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2008. A unique case of mantle cell lymphoma with an aberrant CD5-/CD10- immunophenotype and typical morphology. Archives of Pathology and Laboratory Medicine. In press.</w:t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Alexe, G., Alexe, S., Axelrod, D.E., Hammer, P.L., and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Weissmann, D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2005. Logical analysis of diffuse large B-cell lymphomas. Artificial Intelligence in Medicine. 34:235-267</w:t>
      </w:r>
    </w:p>
    <w:p w:rsidR="00000000" w:rsidDel="00000000" w:rsidP="00000000" w:rsidRDefault="00000000" w:rsidRPr="00000000" w14:paraId="000000A3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Rabson, A.,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Weissmann, D.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From microarray to bedside: targeting NF-KB for therapy of lymphomas. 2005. Clinical Cancer Research. 2: 26.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Zicherman, J,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Weissmann, D.,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Gribbin, C, and Epstein, R. 2005. Primary diffuse large B-cell lymphoma of the epididymis and testis. Radiographics. 25: 243-248.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Gnatenko, D., Dunn, J., McCorkle, S.,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Weissmann,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., Perrotta, P., and Bahou, W. 2003. Transcript profiling of human platelets using microarray and serial analysis of gene expression. Blood. 101: 3021-3028.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David Weissmann, M.D., Ph.D.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Page 4 of 4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Multicenter study; from Cold Spring Harbor Laboratory:  Sachidanandam, R.,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Weissmann,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., Schmidt, S., Kakol, J., and Stein, L. 2001. A map of human genome sequence variation containing 1.42 million single nucleotide polymorphisms. Nature. 409: 928-933.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Jones, D.,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Weissmann,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., Kraus, M., Hasserjian, R., Shahsafaei, A. and Dorfman, D. 2000. Recurrences in nodal T cell lymphoma: changes in histologic appearance and immunophenotype over the course of disease. Am. J. of Clin. Path. 114:438-47.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Taskin, M., Inghirami, G.,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Weissmann,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., Tallini, G., Frizzera, G. 1998. Clonal immunoglobulin rearrangement in lymph nodes of HIV+ patients with marked (atypical) lymphoid hyperplasia. Abstract for the 87th meeting of the US and Canadian Academy of Pathology.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Weissmann,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1998. A Web-Based Pathology Tutorial for Non Hodgkin's Lymphomas. pleiad.umdnj.edu/hemepath/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Weissmann,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., Ferry, J., Harris, N., Louis, D., Delmonico, F., and Spiro, I. 1995. Posttransplantation Lymphoproliferative Disorders in Solid Organ Recipients Are Predominantly Aggressive Tumors of Host Origin. Am. J. of Clin. Path. 103:748-755.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Amrein, P. C.,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Weissmann,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1994. Case Records of the Massachusetts General Hospital (Case 431994): A 52year-old woman with weakness, diarrhea, and diffuse lymphadenopathy (mantle cell lymphoma). New England J. of Med. 331:1576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Weissmann,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., Lewandrowski, K.,  Godine, J.,  Centeno, B.,  Warshaw, A. 1994. Pancreatic Cystic Islet Cell Tumors. Clinical and Pathologic Features in Two Cases with Cyst Fluid Analysis. Int. J. of Pancreatol. 15(1):75-79.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Weissmann,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., Spargo, J., Wennersten, C., and Ferraro, M.J. 1991. Detection of Enterococcal HighLevel Aminoglycoside Resistance with MicroScan FreezeDried Panels Containing Newly Modified Medium and Vitek GramPositive Susceptibility Cards. J. Clin. Microbiol. 29: 1232-1235.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Weissmann,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., Amenta, P.S., and Kantor, G.R. 1990. Vulvar Epithelioid Sarcoma Metastatic to the Scalp: A Case Report and Review of the Literature. Am. J. of Dermatopath. 12: 462-468.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Research: the molecular basis for foscarnet resistance in human cytomegalovirus, Infectious Disease Unit, Massachusetts General Hospital, 1992-1993.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Research: antiidiotypal antibodies to mouse antimalarial antibodies, Hahnemann University, 1986.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Research: resistance to ischemic conduction decay in tail nerves of diabetic rats, Hahnemann University, 1987.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Abstracts and 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DIMACS Workshop on Detecting and Processing Regularities in High Throughput Biological Data June 21, 2005: “Logical Analysis of Diffuse Large B-Cell Lymphomas “Alexe, G., Alexe, S., Axelrod, D.E., Hammer, P.L.,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Weissmann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Cancer Institute of New Jersey Cancer Retreat, April 27, 2005: Focus session D: Molecular Mechanisms of Tumor Growth (2:45-3:45) "Guardian angel or angel of death: the double life of Bfl-1". Simmons, M.J., Kucharczak,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Weissmann,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., Ron, Y., and Gelinas, C.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Cancer Institute of New Jersey Cancer Retreat, April 27, 2005: Abstract: “Logical Analysis of Diffuse Large B-Cell Lymphomas “Alexe, G., Alexe, S., Axelrod, D.E., Hammer, P.L.,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Weissmann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152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1296" w:hanging="216"/>
      </w:pPr>
      <w:rPr>
        <w:rFonts w:ascii="Noto Sans Symbols" w:cs="Noto Sans Symbols" w:eastAsia="Noto Sans Symbols" w:hAnsi="Noto Sans Symbols"/>
        <w:b w:val="0"/>
        <w:i w:val="0"/>
        <w:color w:val="80808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line="480" w:lineRule="auto"/>
      <w:jc w:val="both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/>
    <w:rPr>
      <w:rFonts w:ascii="Arimo" w:cs="Arimo" w:eastAsia="Arimo" w:hAnsi="Arimo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