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c45911"/>
          <w:sz w:val="56"/>
          <w:szCs w:val="5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45911"/>
          <w:sz w:val="56"/>
          <w:szCs w:val="56"/>
          <w:u w:val="none"/>
          <w:shd w:fill="auto" w:val="clear"/>
          <w:vertAlign w:val="baseline"/>
          <w:rtl w:val="0"/>
        </w:rPr>
        <w:br w:type="textWrapping"/>
        <w:t xml:space="preserve">MICHELLE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  <w:rtl w:val="0"/>
        </w:rPr>
        <w:t xml:space="preserve">(123) 456 78 99 – info@hloom.com – www.hloom.com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Progressively maintain extensive infomediaries via extensible niches. Dramatically disseminate standardized metrics after resource-leveling processes. Objectively pursue diverse catalysts for change for interoperable meta-services.Quickly cultivate optimal processes and tactical architectures. Completely iterate covalent.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Experience </w:t>
      </w:r>
    </w:p>
    <w:tbl>
      <w:tblPr>
        <w:tblStyle w:val="Table1"/>
        <w:tblW w:w="9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7"/>
        <w:gridCol w:w="7363"/>
        <w:tblGridChange w:id="0">
          <w:tblGrid>
            <w:gridCol w:w="2497"/>
            <w:gridCol w:w="7363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Creative Bee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DESIGNER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 tempus. Quickly cultivate optimal processes and tactical architectures. Completely iterate covalent strategic theme areas via accurate e-markets.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1998 – 1999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Etiamfermentumtellus sit amettristiqueultrices. Nulla id auctorarcu. Nullam ante sem, euismod non tellusvel, blanditgravidadui. Sedsodalesdignissimnisl, velinterdumloremlobortiseu.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Elephants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1995 - 1998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 ASSISTANT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Appropriately empower dynamic leadership skills after business portals. Globally myocardinate interactive supply chains with distinctive quality vectors. Globally revolutionize global sources through interoperable services.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1992 - 1995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ASSISTANT 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Interactivelyprocrastinatehigh-payoff content withoutbackward-compatible data.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  <w:sectPr>
          <w:footerReference r:id="rId6" w:type="default"/>
          <w:pgSz w:h="16840" w:w="11920"/>
          <w:pgMar w:bottom="280" w:top="940" w:left="1020" w:right="10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2"/>
        <w:tblW w:w="9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7"/>
        <w:gridCol w:w="7363"/>
        <w:tblGridChange w:id="0">
          <w:tblGrid>
            <w:gridCol w:w="2497"/>
            <w:gridCol w:w="7363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Orlando University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Donecfringillaeratimperdietsollicitudin. 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76717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or Cool Designs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1993 – 1995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DESIGNER CERTIFICATE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nis.</w:t>
            </w:r>
          </w:p>
        </w:tc>
      </w:tr>
    </w:tbl>
    <w:p w:rsidR="00000000" w:rsidDel="00000000" w:rsidP="00000000" w:rsidRDefault="00000000" w:rsidRPr="00000000" w14:paraId="00000026">
      <w:pPr>
        <w:spacing w:after="160" w:before="0" w:line="259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40" w:w="11920"/>
      <w:pgMar w:bottom="280" w:top="940" w:left="1020" w:right="104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767171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mallCaps w:val="1"/>
      <w:color w:val="c45911"/>
    </w:rPr>
  </w:style>
  <w:style w:type="paragraph" w:styleId="Heading2">
    <w:name w:val="heading 2"/>
    <w:basedOn w:val="Normal"/>
    <w:next w:val="Normal"/>
    <w:pPr>
      <w:jc w:val="right"/>
    </w:pPr>
    <w:rPr>
      <w:b w:val="1"/>
      <w:color w:val="c55911"/>
    </w:rPr>
  </w:style>
  <w:style w:type="paragraph" w:styleId="Heading3">
    <w:name w:val="heading 3"/>
    <w:basedOn w:val="Normal"/>
    <w:next w:val="Normal"/>
    <w:pPr>
      <w:spacing w:before="0" w:lineRule="auto"/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144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