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</w:r>
    </w:p>
    <w:tbl>
      <w:tblPr>
        <w:tblStyle w:val="Table1"/>
        <w:tblW w:w="1080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00"/>
        <w:gridCol w:w="449"/>
        <w:gridCol w:w="2551"/>
        <w:gridCol w:w="1274"/>
        <w:gridCol w:w="1277"/>
        <w:gridCol w:w="2549"/>
        <w:tblGridChange w:id="0">
          <w:tblGrid>
            <w:gridCol w:w="2700"/>
            <w:gridCol w:w="449"/>
            <w:gridCol w:w="2551"/>
            <w:gridCol w:w="1274"/>
            <w:gridCol w:w="1277"/>
            <w:gridCol w:w="2549"/>
          </w:tblGrid>
        </w:tblGridChange>
      </w:tblGrid>
      <w:tr>
        <w:trPr>
          <w:trHeight w:val="720" w:hRule="atLeast"/>
        </w:trPr>
        <w:tc>
          <w:tcPr>
            <w:tcBorders>
              <w:bottom w:color="7f7f7f" w:space="0" w:sz="24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e7aa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e7aa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MICHELLE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e7aa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e7aa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HLOOM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e7aa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d1d1d1" w:space="0" w:sz="8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Rockwell" w:cs="Rockwell" w:eastAsia="Rockwell" w:hAnsi="Rockwel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ckwell" w:cs="Rockwell" w:eastAsia="Rockwell" w:hAnsi="Rockwel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Uniquely deploy cross-unit benefits with wireless testing procedures. Collaboratively build backward-compatible relationships whereas tactical paradigms. Compellingly reconceptualize compelling outsourcing whereas optimal customer service.</w:t>
            </w:r>
          </w:p>
        </w:tc>
      </w:tr>
      <w:tr>
        <w:trPr>
          <w:trHeight w:val="720" w:hRule="atLeast"/>
        </w:trPr>
        <w:tc>
          <w:tcPr>
            <w:tcBorders>
              <w:top w:color="7f7f7f" w:space="0" w:sz="24" w:val="single"/>
              <w:bottom w:color="7f7f7f" w:space="0" w:sz="24" w:val="single"/>
            </w:tcBorders>
          </w:tcPr>
          <w:p w:rsidR="00000000" w:rsidDel="00000000" w:rsidP="00000000" w:rsidRDefault="00000000" w:rsidRPr="00000000" w14:paraId="0000000A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00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1d1d1" w:space="0" w:sz="8" w:val="single"/>
              <w:bottom w:color="d1d1d1" w:space="0" w:sz="8" w:val="single"/>
            </w:tcBorders>
            <w:tcMar>
              <w:right w:w="72.0" w:type="dxa"/>
            </w:tcMar>
          </w:tcPr>
          <w:p w:rsidR="00000000" w:rsidDel="00000000" w:rsidP="00000000" w:rsidRDefault="00000000" w:rsidRPr="00000000" w14:paraId="0000000C">
            <w:pPr>
              <w:rPr>
                <w:b w:val="1"/>
                <w:smallCaps w:val="1"/>
                <w:color w:val="3e7aa2"/>
              </w:rPr>
            </w:pPr>
            <w:r w:rsidDel="00000000" w:rsidR="00000000" w:rsidRPr="00000000">
              <w:rPr>
                <w:b w:val="1"/>
                <w:smallCaps w:val="1"/>
                <w:color w:val="3e7aa2"/>
                <w:rtl w:val="0"/>
              </w:rPr>
              <w:t xml:space="preserve">LOREM IPUSUM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Donecb landitfeugiat, Donechendrerit,Donecutest in lectus, Etiameget dui, Aliquameratvolutpat, Sed at lorem in nunc, Proinnecaugue, Quisquealiquam. </w:t>
            </w:r>
          </w:p>
        </w:tc>
        <w:tc>
          <w:tcPr>
            <w:gridSpan w:val="2"/>
            <w:tcBorders>
              <w:top w:color="d1d1d1" w:space="0" w:sz="8" w:val="single"/>
              <w:bottom w:color="d1d1d1" w:space="0" w:sz="8" w:val="single"/>
            </w:tcBorders>
            <w:tcMar>
              <w:left w:w="72.0" w:type="dxa"/>
            </w:tcMar>
          </w:tcPr>
          <w:p w:rsidR="00000000" w:rsidDel="00000000" w:rsidP="00000000" w:rsidRDefault="00000000" w:rsidRPr="00000000" w14:paraId="0000000F">
            <w:pPr>
              <w:rPr>
                <w:b w:val="1"/>
                <w:smallCaps w:val="1"/>
                <w:color w:val="3e7aa2"/>
              </w:rPr>
            </w:pPr>
            <w:r w:rsidDel="00000000" w:rsidR="00000000" w:rsidRPr="00000000">
              <w:rPr>
                <w:b w:val="1"/>
                <w:smallCaps w:val="1"/>
                <w:color w:val="3e7aa2"/>
                <w:rtl w:val="0"/>
              </w:rPr>
              <w:t xml:space="preserve">LOREM IPSUM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Tempor, Pellentesque habitant, Nunc ac magna, Maecenasodiodolor, Pellentesquecursus, Pellentesqueporttitor, Cras non magna, Vivamus a mi meque.</w:t>
            </w:r>
          </w:p>
        </w:tc>
      </w:tr>
      <w:tr>
        <w:trPr>
          <w:trHeight w:val="720" w:hRule="atLeast"/>
        </w:trPr>
        <w:tc>
          <w:tcPr>
            <w:tcBorders>
              <w:top w:color="7f7f7f" w:space="0" w:sz="24" w:val="single"/>
            </w:tcBorders>
          </w:tcPr>
          <w:p w:rsidR="00000000" w:rsidDel="00000000" w:rsidP="00000000" w:rsidRDefault="00000000" w:rsidRPr="00000000" w14:paraId="0000001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/>
          <w:p w:rsidR="00000000" w:rsidDel="00000000" w:rsidP="00000000" w:rsidRDefault="00000000" w:rsidRPr="00000000" w14:paraId="0000001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1d1" w:space="0" w:sz="8" w:val="single"/>
            </w:tcBorders>
            <w:tcMar>
              <w:right w:w="72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b w:val="1"/>
                <w:smallCaps w:val="1"/>
                <w:color w:val="3e7aa2"/>
                <w:rtl w:val="0"/>
              </w:rPr>
              <w:t xml:space="preserve">Creative Bee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c459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c459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senior designer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2011 – present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Sedornare pellentesq uee rosquisgravid aenim tristiquerh oncus.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Aliquam convallis, massa vitae tinciduntaliquam, nibhrisust, quisportave litlect ussedtellus. 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0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Nullamnisimauris, rhoncusetenimnec, pellente squeullam corp ererat. Viv amuslobortis nibh acnul alaciniavo.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1d1d1" w:space="0" w:sz="8" w:val="single"/>
            </w:tcBorders>
            <w:tcMar>
              <w:left w:w="72.0" w:type="dxa"/>
              <w:right w:w="72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smallCaps w:val="1"/>
                <w:color w:val="3e7aa2"/>
                <w:rtl w:val="0"/>
              </w:rPr>
              <w:t xml:space="preserve">Gravity Designs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c459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c459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assistant designer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2005 – 2011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Proineutinciduntsapien. Quisque semper, diam in moles iecommodo. Sadipiscingacc umsanenim.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Fusce at condimentum dolor. Rassceler isquesce lerisque ante euscelerisque. 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smallCaps w:val="1"/>
                <w:color w:val="3e7aa2"/>
              </w:rPr>
            </w:pPr>
            <w:r w:rsidDel="00000000" w:rsidR="00000000" w:rsidRPr="00000000">
              <w:rPr>
                <w:rtl w:val="0"/>
              </w:rPr>
              <w:t xml:space="preserve">Aliqu aminterdu mjustoest, necrutru maug ueco nvallisacs.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1d1d1" w:space="0" w:sz="8" w:val="single"/>
            </w:tcBorders>
            <w:tcMar>
              <w:left w:w="72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b w:val="1"/>
                <w:smallCaps w:val="1"/>
                <w:color w:val="3e7aa2"/>
                <w:rtl w:val="0"/>
              </w:rPr>
              <w:t xml:space="preserve">Blue Bee 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c459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c459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 director assistant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1998 – 1999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Sedsuscipit ante in arcuegestasconvallis. Etia mfermen tumtellus sit amet.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Stristiqueultrices. Nulla id auctorarcu. Nullam ante sem, euismod non tellusvel, ditgravida dui. 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0"/>
                <w:smallCaps w:val="0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Sed sodalesdi gnissimnisl, inter dumlo remlobortis. Sedc onsectetur port titorle.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7f7f7f" w:space="0" w:sz="24" w:val="single"/>
              <w:bottom w:color="7f7f7f" w:space="0" w:sz="24" w:val="single"/>
            </w:tcBorders>
          </w:tcPr>
          <w:p w:rsidR="00000000" w:rsidDel="00000000" w:rsidP="00000000" w:rsidRDefault="00000000" w:rsidRPr="00000000" w14:paraId="00000030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31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1d1d1" w:space="0" w:sz="8" w:val="single"/>
              <w:bottom w:color="d1d1d1" w:space="0" w:sz="8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Bachelor of Art from Orlando State University, 2002 – 2011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BFA in Communication Design from  Yale Tech University, 2000 – 2004</w:t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5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ckwel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20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123.456.78.99 - info@hloom.com  - www.hloom.com</w:t>
    </w:r>
  </w:p>
  <w:p w:rsidR="00000000" w:rsidDel="00000000" w:rsidP="00000000" w:rsidRDefault="00000000" w:rsidRPr="00000000" w14:paraId="000000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lang w:val="en-US"/>
      </w:rPr>
    </w:rPrDefault>
    <w:pPrDefault>
      <w:pPr>
        <w:spacing w:line="3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right"/>
    </w:pPr>
    <w:rPr>
      <w:b w:val="1"/>
      <w:smallCaps w:val="1"/>
    </w:rPr>
  </w:style>
  <w:style w:type="paragraph" w:styleId="Heading2">
    <w:name w:val="heading 2"/>
    <w:basedOn w:val="Normal"/>
    <w:next w:val="Normal"/>
    <w:pPr/>
    <w:rPr>
      <w:b w:val="1"/>
      <w:color w:val="c55911"/>
    </w:rPr>
  </w:style>
  <w:style w:type="paragraph" w:styleId="Heading3">
    <w:name w:val="heading 3"/>
    <w:basedOn w:val="Normal"/>
    <w:next w:val="Normal"/>
    <w:pPr>
      <w:jc w:val="right"/>
    </w:pPr>
    <w:rPr>
      <w:color w:val="2626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30.0" w:type="dxa"/>
        <w:left w:w="0.0" w:type="dxa"/>
        <w:bottom w:w="23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