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u w:val="single"/>
          <w:rtl w:val="0"/>
        </w:rPr>
        <w:t xml:space="preserve">Kevin A. Bane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697 Hamill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San Diego, CA 92121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858-380-4163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kabane@anymail.com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contribute my knowledge of soil science by obtaining an agricultural consultant position with a public sector organization and help farmers and growers in proper utilization and management of agricultural lands.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use and management of agricultural land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of agriculture and horticulture methods and techniques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persuasion, analytical, and technical skills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communicate verbally and in writing with farmers and public and private organizations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using computers and researching land for feasibility of agricultural production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Business acumen with abilities to provide advice on growing right agricultural products and raising funds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Agricultural Consultant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Farmers' Friend, San Diego, CA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2013 - Present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Visiting client's site and evaluating land soil for feasibility of agricultural production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and providing support to clients on technical requirements of farming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Helping clients in business planning and applications and raising funds for projects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soil and testing it in the laboratory for possibility of yielding crops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and adjusting business plans according to the requirements of clients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Selecting the best pest control measures for maintaining health of livestock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Suggesting proper nutrition and diet for livestock and spraying materials on crops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Agricultural Consultant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Agro, San Diego, CA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September 2013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and written articles on farming and horticulture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Communicated with manufacturing companies and suggested them on developing farming equipment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on farm spraying materials and identified their benefits and side effects on crops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Appointed experienced veterinarians on behalf of clients for taking care of livestock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Measured, analyzed, and conducted land valuations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Wrote technical publications catering to several agriculture issues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Attended conferences and debate and shared personal views and inculcated experts' views in work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Soil Science</w:t>
        <w:br w:type="textWrapping"/>
        <w:t xml:space="preserve">San Diego University, San Diego, CA</w:t>
        <w:br w:type="textWrapping"/>
        <w:t xml:space="preserve">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