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Gary S. Schillinger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3656 Goff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Grand Rapids, MI 49508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Phone: 269-620-3343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highlight w:val="white"/>
          <w:rtl w:val="0"/>
        </w:rPr>
        <w:t xml:space="preserve">Email: gsschillinger@example.com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ABAP consultant with "Apt Consulting," and provide technical guidance to SAP developers and ensure successful execution of IT projects.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SAP ABAP consulting and end-to-end implementation projects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presentation, project management, and communication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keep track of project progress and fix mistakes or deviations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ERP programming techniques and dialog programming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using ABAP command and tools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map and interpret particular areas of SAP PP functionality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ABAP Consultant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IT Solutions, Inc., Grand Rapids, MI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technical guidance to the team of developers in developing ABAP modules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time and cost effectiveness of projects from the client's perspective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SAP modules and receiving approvals from clients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quality inspection test and documenting test results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changes to SAP module codes as per client's requirements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present module as per the advancements in SAP modules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technical codes written by juniors and verifying its accuracy and relevance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ABAP Consultant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Technocraft, Grand Rapids, MI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Interacted with the end users and understood their expectations and project requisites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software and modules using ABAP and SAP scripts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and implemented functional specifications and devised relevant technical specifications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Conversed with the end users constantly and solved their difficulties and requirements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errors and inefficiencies aptly and provided suitable solutions to resolve them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Counseled the team of developers on designing user-friendly applications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Software Development</w:t>
        <w:br w:type="textWrapping"/>
        <w:t xml:space="preserve">ABC University, Grand Rapids, MI</w:t>
        <w:br w:type="textWrapping"/>
        <w:t xml:space="preserve">2012.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