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Patent License Agreement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148"/>
          <w:tab w:val="left" w:pos="734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agreement is hereby entered into on this date [Date here] between [Licensor’s name] 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[Licensee name] for the purpose of transferring the ownership of Patent # [patent number] from the licensor to the licensee.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after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[Licensee name]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[Address line 1</w:t>
              <w:br w:type="textWrapping"/>
              <w:t xml:space="preserve">Address line 2</w:t>
              <w:br w:type="textWrapping"/>
              <w:t xml:space="preserve">Address line 3]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Tel: [Telephone number]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[Licensor’s name]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[Address line 1</w:t>
              <w:br w:type="textWrapping"/>
              <w:t xml:space="preserve">Address line 2</w:t>
              <w:br w:type="textWrapping"/>
              <w:t xml:space="preserve">Address line 3] 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Tel: [Telephone number]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licensor and licensee agree to the following terms: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General Terms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licensor will transfer the ownership and rights of the patent license to the licensee.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licensor has the authority to transfer the ownership and rights of the patent license to the licensee.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licensee accepts the patent license and has the ability to pay the determined fees.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licensor guarantees that the patent is licensed and valid.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is governed under the jurisdiction of the state of [State name]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License Grant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licensor grants the patent license to the licensee subject to the licensee's performance of all payment obligations.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licensee shall be entitled to the whole ownership of the patent and may subcontract manufacturing of licensed products under the patent to third parties. 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Payments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licensee shall purchase the patent from the licensor at a sum of $15,000 in a single installment at the time of signing this agreement.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payment shall be made to the licensor via bank transfer.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amount paid to the licensor shall in no way be refunded or canceled. 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Liability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Neither party shall be held liable for any damages, indirect or direct, including loss of profits or any commercial loss. 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Publicity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is not strictly confidential.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Neither party shall disclose the contents of this agreement to a third party without prior consent with the exception of court-ordered disclosure or where otherwise required by the law.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of a court-ordered disclosure of any or all portions of this agreement, the disclosing party must immediately alert the other party of the order.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undersigned have hereby read all of this agreement and agree to abide by the terms and conditions therein.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42"/>
        <w:gridCol w:w="1931"/>
        <w:gridCol w:w="1733"/>
        <w:gridCol w:w="2203"/>
        <w:gridCol w:w="789"/>
        <w:gridCol w:w="1414"/>
        <w:gridCol w:w="2204"/>
        <w:tblGridChange w:id="0">
          <w:tblGrid>
            <w:gridCol w:w="742"/>
            <w:gridCol w:w="1931"/>
            <w:gridCol w:w="1733"/>
            <w:gridCol w:w="2203"/>
            <w:gridCol w:w="789"/>
            <w:gridCol w:w="1414"/>
            <w:gridCol w:w="2204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[Licensee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[Licenser’s name]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[representative]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40" w:line="24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