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980.0" w:type="dxa"/>
        <w:jc w:val="left"/>
        <w:tblInd w:w="198.0" w:type="dxa"/>
        <w:tblBorders>
          <w:top w:color="c0b6a5" w:space="0" w:sz="4" w:val="single"/>
          <w:left w:color="c0b6a5" w:space="0" w:sz="4" w:val="single"/>
          <w:bottom w:color="c0b6a5" w:space="0" w:sz="4" w:val="single"/>
          <w:right w:color="c0b6a5" w:space="0" w:sz="4" w:val="single"/>
          <w:insideH w:color="c0b6a5" w:space="0" w:sz="4" w:val="single"/>
          <w:insideV w:color="c0b6a5" w:space="0" w:sz="4" w:val="single"/>
        </w:tblBorders>
        <w:tblLayout w:type="fixed"/>
        <w:tblLook w:val="0400"/>
      </w:tblPr>
      <w:tblGrid>
        <w:gridCol w:w="10980"/>
        <w:tblGridChange w:id="0">
          <w:tblGrid>
            <w:gridCol w:w="10980"/>
          </w:tblGrid>
        </w:tblGridChange>
      </w:tblGrid>
      <w:tr>
        <w:tc>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404.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74"/>
              <w:gridCol w:w="2503"/>
              <w:gridCol w:w="3727"/>
              <w:tblGridChange w:id="0">
                <w:tblGrid>
                  <w:gridCol w:w="4174"/>
                  <w:gridCol w:w="2503"/>
                  <w:gridCol w:w="3727"/>
                </w:tblGrid>
              </w:tblGridChange>
            </w:tblGrid>
            <w:tr>
              <w:trPr>
                <w:trHeight w:val="2020" w:hRule="atLeast"/>
              </w:trPr>
              <w:tc>
                <w:tcPr>
                  <w:shd w:fill="fdfaf5" w:val="clear"/>
                </w:tcPr>
                <w:p w:rsidR="00000000" w:rsidDel="00000000" w:rsidP="00000000" w:rsidRDefault="00000000" w:rsidRPr="00000000" w14:paraId="00000003">
                  <w:pPr>
                    <w:jc w:val="right"/>
                    <w:rPr>
                      <w:rFonts w:ascii="Cambria" w:cs="Cambria" w:eastAsia="Cambria" w:hAnsi="Cambria"/>
                    </w:rPr>
                  </w:pPr>
                  <w:bookmarkStart w:colFirst="0" w:colLast="0" w:name="_gjdgxs" w:id="0"/>
                  <w:bookmarkEnd w:id="0"/>
                  <w:r w:rsidDel="00000000" w:rsidR="00000000" w:rsidRPr="00000000">
                    <w:rPr>
                      <w:rtl w:val="0"/>
                    </w:rPr>
                    <w:br w:type="textWrapping"/>
                    <w:t xml:space="preserve">Pellentesqueporttitor, velitlaciniaegestasauctor, diam erostempusarcu, nec ulputateaugue magna velrisus. Cras non magna vel ante adipiscingrhoncus. Vivamus a mi morbinequealiquam erat volutpat. Integerultriceslobortiserosgellentesque.</w:t>
                  </w:r>
                  <w:r w:rsidDel="00000000" w:rsidR="00000000" w:rsidRPr="00000000">
                    <w:rPr>
                      <w:rtl w:val="0"/>
                    </w:rPr>
                  </w:r>
                </w:p>
              </w:tc>
              <w:tc>
                <w:tcPr>
                  <w:shd w:fill="fdfaf5" w:val="clear"/>
                  <w:vAlign w:val="cente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center"/>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Pr>
                    <w:drawing>
                      <wp:inline distB="0" distT="0" distL="0" distR="0">
                        <wp:extent cx="1333333" cy="12952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3333" cy="1295238"/>
                                </a:xfrm>
                                <a:prstGeom prst="rect"/>
                                <a:ln/>
                              </pic:spPr>
                            </pic:pic>
                          </a:graphicData>
                        </a:graphic>
                      </wp:inline>
                    </w:drawing>
                  </w:r>
                  <w:r w:rsidDel="00000000" w:rsidR="00000000" w:rsidRPr="00000000">
                    <w:rPr>
                      <w:rtl w:val="0"/>
                    </w:rPr>
                  </w:r>
                </w:p>
              </w:tc>
              <w:tc>
                <w:tcPr>
                  <w:shd w:fill="fdfaf5" w:val="clear"/>
                </w:tcPr>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left"/>
                    <w:rPr>
                      <w:rFonts w:ascii="Twentieth Century" w:cs="Twentieth Century" w:eastAsia="Twentieth Century" w:hAnsi="Twentieth Century"/>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Edward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90"/>
                      <w:tab w:val="center" w:pos="5310"/>
                      <w:tab w:val="right" w:pos="10890"/>
                    </w:tabs>
                    <w:spacing w:after="0" w:before="0" w:line="240" w:lineRule="auto"/>
                    <w:ind w:left="0" w:right="0" w:firstLine="0"/>
                    <w:jc w:val="left"/>
                    <w:rPr>
                      <w:rFonts w:ascii="Cambria" w:cs="Cambria" w:eastAsia="Cambria" w:hAnsi="Cambria"/>
                      <w:b w:val="1"/>
                      <w:i w:val="0"/>
                      <w:smallCaps w:val="0"/>
                      <w:strike w:val="0"/>
                      <w:color w:val="0e0d37"/>
                      <w:sz w:val="40"/>
                      <w:szCs w:val="40"/>
                      <w:u w:val="none"/>
                      <w:shd w:fill="auto" w:val="clear"/>
                      <w:vertAlign w:val="baseline"/>
                    </w:rPr>
                  </w:pPr>
                  <w:r w:rsidDel="00000000" w:rsidR="00000000" w:rsidRPr="00000000">
                    <w:rPr>
                      <w:rFonts w:ascii="Twentieth Century" w:cs="Twentieth Century" w:eastAsia="Twentieth Century" w:hAnsi="Twentieth Century"/>
                      <w:b w:val="1"/>
                      <w:i w:val="0"/>
                      <w:smallCaps w:val="0"/>
                      <w:strike w:val="0"/>
                      <w:color w:val="0e0d37"/>
                      <w:sz w:val="40"/>
                      <w:szCs w:val="40"/>
                      <w:u w:val="none"/>
                      <w:shd w:fill="auto" w:val="clear"/>
                      <w:vertAlign w:val="baseline"/>
                      <w:rtl w:val="0"/>
                    </w:rPr>
                    <w:t xml:space="preserve">Hloomberg</w:t>
                  </w: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t xml:space="preserve">Pellentesque habitant morbi tristique senectus et netus et malesuadafamesacturpisegestas</w:t>
                  </w:r>
                </w:p>
              </w:tc>
            </w:tr>
          </w:tbl>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Twentieth Century" w:cs="Twentieth Century" w:eastAsia="Twentieth Century" w:hAnsi="Twentieth Century"/>
          <w:b w:val="1"/>
          <w:i w:val="0"/>
          <w:smallCaps w:val="1"/>
          <w:strike w:val="0"/>
          <w:color w:val="8ea998"/>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80" w:line="240" w:lineRule="auto"/>
        <w:ind w:left="0" w:right="0" w:firstLine="0"/>
        <w:jc w:val="center"/>
        <w:rPr>
          <w:rFonts w:ascii="Twentieth Century" w:cs="Twentieth Century" w:eastAsia="Twentieth Century" w:hAnsi="Twentieth Century"/>
          <w:b w:val="1"/>
          <w:i w:val="0"/>
          <w:smallCaps w:val="1"/>
          <w:strike w:val="0"/>
          <w:color w:val="8ea998"/>
          <w:sz w:val="28"/>
          <w:szCs w:val="28"/>
          <w:u w:val="none"/>
          <w:shd w:fill="auto" w:val="clear"/>
          <w:vertAlign w:val="baseline"/>
        </w:rPr>
      </w:pPr>
      <w:r w:rsidDel="00000000" w:rsidR="00000000" w:rsidRPr="00000000">
        <w:rPr>
          <w:rFonts w:ascii="Twentieth Century" w:cs="Twentieth Century" w:eastAsia="Twentieth Century" w:hAnsi="Twentieth Century"/>
          <w:b w:val="1"/>
          <w:i w:val="0"/>
          <w:smallCaps w:val="1"/>
          <w:strike w:val="0"/>
          <w:color w:val="8ea998"/>
          <w:sz w:val="28"/>
          <w:szCs w:val="28"/>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sectPr>
      <w:pgSz w:h="15840" w:w="12240"/>
      <w:pgMar w:bottom="720" w:top="72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8.0" w:type="dxa"/>
        <w:left w:w="288.0" w:type="dxa"/>
        <w:bottom w:w="288.0" w:type="dxa"/>
        <w:right w:w="288.0" w:type="dxa"/>
      </w:tblCellMar>
    </w:tblPr>
  </w:style>
  <w:style w:type="table" w:styleId="Table2">
    <w:basedOn w:val="TableNormal"/>
    <w:tblPr>
      <w:tblStyleRowBandSize w:val="1"/>
      <w:tblStyleColBandSize w:val="1"/>
      <w:tblCellMar>
        <w:top w:w="202.0" w:type="dxa"/>
        <w:left w:w="202.0" w:type="dxa"/>
        <w:bottom w:w="202.0" w:type="dxa"/>
        <w:right w:w="202.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