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Bike Ed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Level One Certificate</w:t>
        <w:br w:type="textWrapping"/>
        <w:t xml:space="preserve">Bike Ed cycling skills and simulations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has successfully demonstrated the CYCLING SKILLS and SIMULATION components of the Bike Ed program in a supervised, off-road environment.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Instructor’s signature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Date 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School/Organisation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A note to parents/carers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certificate does not guarantee your child’s ability to ride on-road.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Ways in which you can help your child to be a safer bicycle rider are listed on the back of this certificate.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Level One Certificate</w:t>
        <w:br w:type="textWrapping"/>
        <w:t xml:space="preserve">Bike Ed cycling skills and simulations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This is the first in a series of three certificates which recognise completion of key components of the Bike Ed program.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This certificate is awarded for demonstrating skills, knowledge and simulations in a supervised, off-road environment including:</w:t>
      </w:r>
    </w:p>
    <w:p w:rsidR="00000000" w:rsidDel="00000000" w:rsidP="00000000" w:rsidRDefault="00000000" w:rsidRPr="00000000" w14:paraId="00000013">
      <w:pPr>
        <w:pStyle w:val="Heading3"/>
        <w:rPr/>
      </w:pPr>
      <w:r w:rsidDel="00000000" w:rsidR="00000000" w:rsidRPr="00000000">
        <w:rPr>
          <w:rtl w:val="0"/>
        </w:rPr>
        <w:t xml:space="preserve">KNOWLEDGE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road rules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correct helmet fit and adjustment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appropriate riding clothing.</w:t>
      </w:r>
    </w:p>
    <w:p w:rsidR="00000000" w:rsidDel="00000000" w:rsidP="00000000" w:rsidRDefault="00000000" w:rsidRPr="00000000" w14:paraId="00000017">
      <w:pPr>
        <w:pStyle w:val="Heading3"/>
        <w:rPr/>
      </w:pPr>
      <w:r w:rsidDel="00000000" w:rsidR="00000000" w:rsidRPr="00000000">
        <w:rPr>
          <w:rtl w:val="0"/>
        </w:rPr>
        <w:t xml:space="preserve">SIMULATIONS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driveway and kerb side ride outs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negotiating intersections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avoiding hazards, including pedestrians.</w:t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scanning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slow riding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braking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sharp turns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riding in a straight line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single file and forming pairs.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How to help your child be a safer bicycle rider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Ensure your child rides a bicycle of suitable size (when seated your child should be able to put one foot on the ground).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 is compulsory to wear a helmet which meets the Australian Standard AS/NZS 2063 at all times, when cycling in public places. As head injuries occur during play activities it is advisable for children to wear a helmet at ALL times when cycling, regardless of location. Ensure your child’s helmet is appropriately sized and correctly fitted.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Bright clothing and shoes which have nonslip soles and closed toes, should always be worn.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 the mechanical condition of your child’s bicycle regularly. If unfamiliar with bicycle mechanics, take it to a local bike shop.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Ride with your child in order to observe the way he or she rides.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Road safety authorities recommend that children under the age of twelve should not be permitted to ride in any traffic environment without the supervision of an adult.</w:t>
      </w:r>
    </w:p>
    <w:sectPr>
      <w:footerReference r:id="rId6" w:type="default"/>
      <w:footerReference r:id="rId7" w:type="even"/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ind w:right="36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