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80.0" w:type="dxa"/>
        <w:tblLayout w:type="fixed"/>
        <w:tblLook w:val="0400"/>
      </w:tblPr>
      <w:tblGrid>
        <w:gridCol w:w="2760"/>
        <w:gridCol w:w="1845"/>
        <w:gridCol w:w="2100"/>
        <w:gridCol w:w="2595"/>
        <w:tblGridChange w:id="0">
          <w:tblGrid>
            <w:gridCol w:w="2760"/>
            <w:gridCol w:w="1845"/>
            <w:gridCol w:w="2100"/>
            <w:gridCol w:w="2595"/>
          </w:tblGrid>
        </w:tblGridChange>
      </w:tblGrid>
      <w:tr>
        <w:trPr>
          <w:trHeight w:val="200" w:hRule="atLeast"/>
        </w:trPr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b w:val="1"/>
                <w:color w:val="333333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5b9bd5"/>
                <w:sz w:val="52"/>
                <w:szCs w:val="52"/>
                <w:rtl w:val="0"/>
              </w:rPr>
              <w:t xml:space="preserve">Employee Training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TRAINING COURSES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DAY #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DATE AND TIME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# OF HOURS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PENSION TRAINING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Pension Components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Pension Educator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GENERAL LECTURE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Basic Training Module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Basic Training Module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TRAINING PASSPORT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New Learner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Eligibility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Census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Distributions and Forfeitures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Takeover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Allocation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Transaction Processing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Compliance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Managing System Activity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Web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Daily Valuation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- Loan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GRAND TOTALS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NUMBER OF DAYS: [NUMBER]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E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