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6086475</wp:posOffset>
                </wp:positionH>
                <wp:positionV relativeFrom="paragraph">
                  <wp:posOffset>80963</wp:posOffset>
                </wp:positionV>
                <wp:extent cx="866775" cy="32623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16105" y="2033115"/>
                          <a:ext cx="859790" cy="349377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6086475</wp:posOffset>
                </wp:positionH>
                <wp:positionV relativeFrom="paragraph">
                  <wp:posOffset>80963</wp:posOffset>
                </wp:positionV>
                <wp:extent cx="866775" cy="32623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3262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b w:val="1"/>
          <w:color w:val="11111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8"/>
          <w:szCs w:val="28"/>
          <w:rtl w:val="0"/>
        </w:rPr>
        <w:t xml:space="preserve">[Mugariz]</w:t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b w:val="1"/>
          <w:color w:val="11111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8"/>
          <w:szCs w:val="28"/>
          <w:rtl w:val="0"/>
        </w:rPr>
        <w:t xml:space="preserve">[Marketing Department]</w:t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  <w:b w:val="1"/>
          <w:color w:val="111111"/>
          <w:sz w:val="76"/>
          <w:szCs w:val="76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76"/>
          <w:szCs w:val="76"/>
          <w:rtl w:val="0"/>
        </w:rPr>
        <w:t xml:space="preserve">SEO STRATEGIC PLAN</w:t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11111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Overview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[Mugariz]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digital content production company that provides high-quality content to its clients from all over the world. It was founded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[2015]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has now served to over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clients worldwide. To further drive the company’s growth, the company must upgrade its SEO strategies to keep up with the latest trends and maintain a strong search engine ranking.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400"/>
      </w:tblPr>
      <w:tblGrid>
        <w:gridCol w:w="4580"/>
        <w:gridCol w:w="4780"/>
        <w:tblGridChange w:id="0">
          <w:tblGrid>
            <w:gridCol w:w="4580"/>
            <w:gridCol w:w="4780"/>
          </w:tblGrid>
        </w:tblGridChange>
      </w:tblGrid>
      <w:tr>
        <w:trPr>
          <w:trHeight w:val="5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MUGARIZ SWOT ANALYSIS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INTERNAL FACTORS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EXTERNAL FACTORS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</w:tr>
      <w:tr>
        <w:trPr>
          <w:trHeight w:val="5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Produces unique, high-quality content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b w:val="1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a steady volume of monthly customers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opportunity to further increase the company’s reach with the advancement of technology</w:t>
            </w:r>
          </w:p>
          <w:p w:rsidR="00000000" w:rsidDel="00000000" w:rsidP="00000000" w:rsidRDefault="00000000" w:rsidRPr="00000000" w14:paraId="0000002B">
            <w:pPr>
              <w:widowControl w:val="0"/>
              <w:ind w:left="252" w:hanging="252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rPr>
          <w:trHeight w:val="5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Lacks sophisticated tools to counter hacking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Needs to hire a competent team to manage its security protocols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Insider security threats or data breaches that are orchestrated by the company’s own employees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Powerful quantum computers that could crack today’s best encryption in less than a day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Goals, Objectives, Strategies, and Tactics 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Definition of Priority Levels 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Priority Name</w:t>
        <w:tab/>
        <w:t xml:space="preserve">    </w:t>
        <w:tab/>
        <w:t xml:space="preserve">Definition   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High</w:t>
        <w:tab/>
        <w:t xml:space="preserve">                </w:t>
        <w:tab/>
        <w:t xml:space="preserve">Low Cost, High Impact                                        </w:t>
        <w:br w:type="textWrapping"/>
        <w:t xml:space="preserve">Normal</w:t>
        <w:tab/>
        <w:t xml:space="preserve">   </w:t>
        <w:tab/>
        <w:tab/>
        <w:t xml:space="preserve">Average Cost and Impact</w:t>
        <w:br w:type="textWrapping"/>
        <w:t xml:space="preserve">Low</w:t>
        <w:tab/>
        <w:t xml:space="preserve">                </w:t>
        <w:tab/>
        <w:t xml:space="preserve">High Cost, Low Impact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Definition of Status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Ongoing - The activity is on track/on schedule.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At Risk - There are issues facing the activity, but can still be resolved.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On Hold - A serious issue needs to be resolved before the activity can continue.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# 1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4065"/>
        <w:gridCol w:w="1515"/>
        <w:gridCol w:w="1620"/>
        <w:gridCol w:w="990"/>
        <w:gridCol w:w="1350"/>
        <w:tblGridChange w:id="0">
          <w:tblGrid>
            <w:gridCol w:w="4065"/>
            <w:gridCol w:w="1515"/>
            <w:gridCol w:w="1620"/>
            <w:gridCol w:w="990"/>
            <w:gridCol w:w="1350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Identify website deficiencies and determine opportunities for targeting new search traffic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Conduct a thorough analysis on the company websites and their top five competitors starting on [May 4, 2019]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Strategy: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Seek help from an SEO consultant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 a job search for an experienced and effective consultant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Human Resources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February 14,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Ongoing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High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# 2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0"/>
        <w:gridCol w:w="1600"/>
        <w:gridCol w:w="1350"/>
        <w:gridCol w:w="990"/>
        <w:gridCol w:w="1440"/>
        <w:tblGridChange w:id="0">
          <w:tblGrid>
            <w:gridCol w:w="4160"/>
            <w:gridCol w:w="1600"/>
            <w:gridCol w:w="1350"/>
            <w:gridCol w:w="990"/>
            <w:gridCol w:w="1440"/>
          </w:tblGrid>
        </w:tblGridChange>
      </w:tblGrid>
      <w:tr>
        <w:trPr>
          <w:trHeight w:val="42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Goal: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conversion rates and boost online revenue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Create a new SEO campaign based on the reports of the consultant before the end of the first half of [2019]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Strategy: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Begin utilizing data and start mapping out the SEO strategy plans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Tactics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Priority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Form a team and assign specific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Marketing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May 31,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6724650</wp:posOffset>
              </wp:positionH>
              <wp:positionV relativeFrom="paragraph">
                <wp:posOffset>-228599</wp:posOffset>
              </wp:positionV>
              <wp:extent cx="209550" cy="9572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6105" y="2033115"/>
                        <a:ext cx="859790" cy="349377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6724650</wp:posOffset>
              </wp:positionH>
              <wp:positionV relativeFrom="paragraph">
                <wp:posOffset>-228599</wp:posOffset>
              </wp:positionV>
              <wp:extent cx="209550" cy="95726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9572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