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7.0" w:type="dxa"/>
        <w:jc w:val="left"/>
        <w:tblInd w:w="0.0" w:type="dxa"/>
        <w:tblLayout w:type="fixed"/>
        <w:tblLook w:val="0400"/>
      </w:tblPr>
      <w:tblGrid>
        <w:gridCol w:w="787"/>
        <w:gridCol w:w="1005"/>
        <w:gridCol w:w="1275"/>
        <w:gridCol w:w="1980"/>
        <w:gridCol w:w="1980"/>
        <w:gridCol w:w="2340"/>
        <w:tblGridChange w:id="0">
          <w:tblGrid>
            <w:gridCol w:w="787"/>
            <w:gridCol w:w="1005"/>
            <w:gridCol w:w="1275"/>
            <w:gridCol w:w="1980"/>
            <w:gridCol w:w="1980"/>
            <w:gridCol w:w="2340"/>
          </w:tblGrid>
        </w:tblGridChange>
      </w:tblGrid>
      <w:tr>
        <w:trPr>
          <w:trHeight w:val="48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ffc000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b0f0"/>
                <w:sz w:val="40"/>
                <w:szCs w:val="40"/>
                <w:rtl w:val="0"/>
              </w:rPr>
              <w:t xml:space="preserve">Rate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ffc000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40"/>
                <w:szCs w:val="40"/>
                <w:rtl w:val="0"/>
              </w:rPr>
              <w:t xml:space="preserve">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ffc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Lato" w:cs="Lato" w:eastAsia="Lato" w:hAnsi="Lato"/>
                <w:b w:val="1"/>
                <w:color w:val="ffc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Company 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04040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Item Description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Rate Allocated</w:t>
              <w:br w:type="textWrapping"/>
              <w:t xml:space="preserve">at 1 unit purchase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Rate Allocated</w:t>
              <w:br w:type="textWrapping"/>
              <w:t xml:space="preserve">at 2 unit purchase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Rate Allocated</w:t>
              <w:br w:type="textWrapping"/>
              <w:t xml:space="preserve">more than 2 units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b0f0"/>
                <w:sz w:val="20"/>
                <w:szCs w:val="20"/>
                <w:rtl w:val="0"/>
              </w:rPr>
              <w:t xml:space="preserve">Note:</w:t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1. The rates are allocate for short period of time.</w:t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2. Company has authorization to change rate at any time.</w:t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3. Rate for any product can be changed without prior notice.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pacing w:after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