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Layout w:type="fixed"/>
        <w:tblLook w:val="0400"/>
      </w:tblPr>
      <w:tblGrid>
        <w:gridCol w:w="914"/>
        <w:gridCol w:w="815"/>
        <w:gridCol w:w="759"/>
        <w:gridCol w:w="1202"/>
        <w:gridCol w:w="1313"/>
        <w:gridCol w:w="1297"/>
        <w:gridCol w:w="90"/>
        <w:gridCol w:w="1350"/>
        <w:gridCol w:w="1710"/>
        <w:tblGridChange w:id="0">
          <w:tblGrid>
            <w:gridCol w:w="914"/>
            <w:gridCol w:w="815"/>
            <w:gridCol w:w="759"/>
            <w:gridCol w:w="1202"/>
            <w:gridCol w:w="1313"/>
            <w:gridCol w:w="1297"/>
            <w:gridCol w:w="90"/>
            <w:gridCol w:w="1350"/>
            <w:gridCol w:w="1710"/>
          </w:tblGrid>
        </w:tblGridChange>
      </w:tblGrid>
      <w:tr>
        <w:trPr>
          <w:trHeight w:val="240" w:hRule="atLeast"/>
        </w:trPr>
        <w:tc>
          <w:tcPr>
            <w:gridSpan w:val="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6699"/>
                <w:sz w:val="44"/>
                <w:szCs w:val="4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44"/>
                <w:szCs w:val="44"/>
                <w:rtl w:val="0"/>
              </w:rPr>
              <w:t xml:space="preserve">Pro-Forma 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a6a6a6"/>
                <w:sz w:val="44"/>
                <w:szCs w:val="44"/>
                <w:rtl w:val="0"/>
              </w:rPr>
              <w:t xml:space="preserve">Balance Sheet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Date of Coverage: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For [YEAR] to [DATE]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All numbers in USD 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Company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Date</w:t>
            </w:r>
          </w:p>
        </w:tc>
      </w:tr>
      <w:tr>
        <w:trPr>
          <w:trHeight w:val="420" w:hRule="atLeast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360" w:lineRule="auto"/>
              <w:ind w:left="-108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4B">
            <w:pPr>
              <w:spacing w:after="0" w:line="360" w:lineRule="auto"/>
              <w:ind w:left="-108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18"/>
                <w:szCs w:val="18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4C">
            <w:pPr>
              <w:spacing w:after="0" w:line="360" w:lineRule="auto"/>
              <w:ind w:left="-108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18"/>
                <w:szCs w:val="18"/>
                <w:rtl w:val="0"/>
              </w:rPr>
              <w:t xml:space="preserve">Email 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6699" w:space="0" w:sz="4" w:val="single"/>
              <w:left w:color="006699" w:space="0" w:sz="4" w:val="single"/>
              <w:bottom w:color="006699" w:space="0" w:sz="4" w:val="single"/>
              <w:right w:color="00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rtl w:val="0"/>
              </w:rPr>
              <w:t xml:space="preserve">Prepared By</w:t>
            </w:r>
          </w:p>
        </w:tc>
      </w:tr>
      <w:tr>
        <w:trPr>
          <w:trHeight w:val="42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6699" w:space="0" w:sz="4" w:val="single"/>
              <w:left w:color="006699" w:space="0" w:sz="4" w:val="single"/>
              <w:bottom w:color="006699" w:space="0" w:sz="4" w:val="single"/>
              <w:right w:color="00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Assets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Current Assets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Cash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Net Accounts Receivable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Inventory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Temporary Investment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Prepaid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Total Current Assets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Fixed Assets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Long Term Investments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Buildings (Net of Depreciation)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Land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Plant and Equipment (Net)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Furniture and Fixtures (Net)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Total Fixed Assets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rtl w:val="0"/>
              </w:rPr>
              <w:t xml:space="preserve">Total Assets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45.0" w:type="dxa"/>
        <w:jc w:val="left"/>
        <w:tblInd w:w="0.0" w:type="dxa"/>
        <w:tblLayout w:type="fixed"/>
        <w:tblLook w:val="0400"/>
      </w:tblPr>
      <w:tblGrid>
        <w:gridCol w:w="885"/>
        <w:gridCol w:w="885"/>
        <w:gridCol w:w="885"/>
        <w:gridCol w:w="1120"/>
        <w:gridCol w:w="1260"/>
        <w:gridCol w:w="1350"/>
        <w:gridCol w:w="1350"/>
        <w:gridCol w:w="1710"/>
        <w:tblGridChange w:id="0">
          <w:tblGrid>
            <w:gridCol w:w="885"/>
            <w:gridCol w:w="885"/>
            <w:gridCol w:w="885"/>
            <w:gridCol w:w="1120"/>
            <w:gridCol w:w="1260"/>
            <w:gridCol w:w="1350"/>
            <w:gridCol w:w="1350"/>
            <w:gridCol w:w="1710"/>
          </w:tblGrid>
        </w:tblGridChange>
      </w:tblGrid>
      <w:tr>
        <w:trPr>
          <w:trHeight w:val="60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Liabilities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Current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Accounts Payable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Short term Notes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Current Portion of Long-Term Notes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Accruals and Other Payables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Total Current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Long-Term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Old Long-Term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Mortgage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Total Long-Term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Shareholders' Equity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Year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20"/>
                <w:szCs w:val="20"/>
                <w:rtl w:val="0"/>
              </w:rPr>
              <w:t xml:space="preserve">Capital Stock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Total Shareholders' Equity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Total Liabilities and Equity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18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3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