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lef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color w:val="111111"/>
          <w:sz w:val="80"/>
          <w:szCs w:val="80"/>
        </w:rPr>
      </w:pPr>
      <w:r w:rsidDel="00000000" w:rsidR="00000000" w:rsidRPr="00000000">
        <w:rPr>
          <w:rFonts w:ascii="Calibri" w:cs="Calibri" w:eastAsia="Calibri" w:hAnsi="Calibri"/>
          <w:b w:val="1"/>
          <w:color w:val="111111"/>
          <w:sz w:val="80"/>
          <w:szCs w:val="80"/>
          <w:rtl w:val="0"/>
        </w:rPr>
        <w:t xml:space="preserve">GENERAL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1574800</wp:posOffset>
                </wp:positionH>
                <wp:positionV relativeFrom="paragraph">
                  <wp:posOffset>279400</wp:posOffset>
                </wp:positionV>
                <wp:extent cx="5276850" cy="1571625"/>
                <wp:effectExtent b="0" l="0" r="0" t="0"/>
                <wp:wrapSquare wrapText="bothSides" distB="0" distT="0" distL="0" distR="0"/>
                <wp:docPr id="3" name=""/>
                <a:graphic>
                  <a:graphicData uri="http://schemas.microsoft.com/office/word/2010/wordprocessingShape">
                    <wps:wsp>
                      <wps:cNvSpPr/>
                      <wps:cNvPr id="4" name="Shape 4"/>
                      <wps:spPr>
                        <a:xfrm>
                          <a:off x="2712338" y="2998950"/>
                          <a:ext cx="5267325" cy="1562100"/>
                        </a:xfrm>
                        <a:prstGeom prst="rect">
                          <a:avLst/>
                        </a:prstGeom>
                        <a:solidFill>
                          <a:srgbClr val="DA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1574800</wp:posOffset>
                </wp:positionH>
                <wp:positionV relativeFrom="paragraph">
                  <wp:posOffset>279400</wp:posOffset>
                </wp:positionV>
                <wp:extent cx="5276850" cy="157162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276850" cy="1571625"/>
                        </a:xfrm>
                        <a:prstGeom prst="rect"/>
                        <a:ln/>
                      </pic:spPr>
                    </pic:pic>
                  </a:graphicData>
                </a:graphic>
              </wp:anchor>
            </w:drawing>
          </mc:Fallback>
        </mc:AlternateContent>
      </w:r>
    </w:p>
    <w:p w:rsidR="00000000" w:rsidDel="00000000" w:rsidP="00000000" w:rsidRDefault="00000000" w:rsidRPr="00000000" w14:paraId="0000000B">
      <w:pPr>
        <w:spacing w:line="240" w:lineRule="auto"/>
        <w:rPr>
          <w:rFonts w:ascii="Calibri" w:cs="Calibri" w:eastAsia="Calibri" w:hAnsi="Calibri"/>
          <w:b w:val="1"/>
          <w:color w:val="111111"/>
          <w:sz w:val="80"/>
          <w:szCs w:val="80"/>
        </w:rPr>
      </w:pPr>
      <w:r w:rsidDel="00000000" w:rsidR="00000000" w:rsidRPr="00000000">
        <w:rPr>
          <w:rFonts w:ascii="Calibri" w:cs="Calibri" w:eastAsia="Calibri" w:hAnsi="Calibri"/>
          <w:b w:val="1"/>
          <w:color w:val="111111"/>
          <w:sz w:val="80"/>
          <w:szCs w:val="80"/>
          <w:rtl w:val="0"/>
        </w:rPr>
        <w:t xml:space="preserve">CONTRACTOR </w:t>
      </w:r>
    </w:p>
    <w:p w:rsidR="00000000" w:rsidDel="00000000" w:rsidP="00000000" w:rsidRDefault="00000000" w:rsidRPr="00000000" w14:paraId="0000000C">
      <w:pPr>
        <w:spacing w:line="240" w:lineRule="auto"/>
        <w:rPr>
          <w:rFonts w:ascii="Calibri" w:cs="Calibri" w:eastAsia="Calibri" w:hAnsi="Calibri"/>
          <w:b w:val="1"/>
          <w:color w:val="111111"/>
          <w:sz w:val="80"/>
          <w:szCs w:val="80"/>
        </w:rPr>
      </w:pPr>
      <w:r w:rsidDel="00000000" w:rsidR="00000000" w:rsidRPr="00000000">
        <w:rPr>
          <w:rFonts w:ascii="Calibri" w:cs="Calibri" w:eastAsia="Calibri" w:hAnsi="Calibri"/>
          <w:b w:val="1"/>
          <w:color w:val="111111"/>
          <w:sz w:val="80"/>
          <w:szCs w:val="80"/>
          <w:rtl w:val="0"/>
        </w:rPr>
        <w:t xml:space="preserve">BUSINESS PLAN</w:t>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177800</wp:posOffset>
                </wp:positionV>
                <wp:extent cx="3244044" cy="2780021"/>
                <wp:effectExtent b="0" l="0" r="0" t="0"/>
                <wp:wrapNone/>
                <wp:docPr id="1" name=""/>
                <a:graphic>
                  <a:graphicData uri="http://schemas.microsoft.com/office/word/2010/wordprocessingShape">
                    <wps:wsp>
                      <wps:cNvSpPr/>
                      <wps:cNvPr id="2" name="Shape 2"/>
                      <wps:spPr>
                        <a:xfrm>
                          <a:off x="3728741" y="2394752"/>
                          <a:ext cx="3234519" cy="277049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t xml:space="preserve">[Bill Gil Construction]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Business Plan For Fiscal Year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[January 1, 2018]</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0"/>
                                <w:i w:val="0"/>
                                <w:smallCaps w:val="0"/>
                                <w:strike w:val="0"/>
                                <w:color w:val="111111"/>
                                <w:sz w:val="28"/>
                                <w:vertAlign w:val="baseline"/>
                              </w:rPr>
                              <w:t xml:space="preserve">[Billy M. Gilchrist]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r w:rsidDel="00000000" w:rsidR="00000000" w:rsidRPr="00000000">
                              <w:rPr>
                                <w:rFonts w:ascii="Calibri" w:cs="Calibri" w:eastAsia="Calibri" w:hAnsi="Calibri"/>
                                <w:b w:val="0"/>
                                <w:i w:val="0"/>
                                <w:smallCaps w:val="0"/>
                                <w:strike w:val="0"/>
                                <w:color w:val="111111"/>
                                <w:sz w:val="28"/>
                                <w:vertAlign w:val="baseline"/>
                              </w:rPr>
                              <w:t xml:space="preserve">[BillyMGilchrist@teleworm.us]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r w:rsidDel="00000000" w:rsidR="00000000" w:rsidRPr="00000000">
                              <w:rPr>
                                <w:rFonts w:ascii="Calibri" w:cs="Calibri" w:eastAsia="Calibri" w:hAnsi="Calibri"/>
                                <w:b w:val="0"/>
                                <w:i w:val="0"/>
                                <w:smallCaps w:val="0"/>
                                <w:strike w:val="0"/>
                                <w:color w:val="111111"/>
                                <w:sz w:val="28"/>
                                <w:vertAlign w:val="baseline"/>
                              </w:rPr>
                              <w:t xml:space="preserve">[970-914-5856]</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r w:rsidDel="00000000" w:rsidR="00000000" w:rsidRPr="00000000">
                              <w:rPr>
                                <w:rFonts w:ascii="Calibri" w:cs="Calibri" w:eastAsia="Calibri" w:hAnsi="Calibri"/>
                                <w:b w:val="0"/>
                                <w:i w:val="0"/>
                                <w:smallCaps w:val="0"/>
                                <w:strike w:val="0"/>
                                <w:color w:val="111111"/>
                                <w:sz w:val="28"/>
                                <w:vertAlign w:val="baseline"/>
                              </w:rPr>
                              <w:t xml:space="preserve">[www.BMGenCon.com]</w:t>
                            </w:r>
                            <w:r w:rsidDel="00000000" w:rsidR="00000000" w:rsidRPr="00000000">
                              <w:rPr>
                                <w:rFonts w:ascii="Calibri" w:cs="Calibri" w:eastAsia="Calibri" w:hAnsi="Calibri"/>
                                <w:b w:val="0"/>
                                <w:i w:val="0"/>
                                <w:smallCaps w:val="0"/>
                                <w:strike w:val="0"/>
                                <w:color w:val="111111"/>
                                <w:sz w:val="28"/>
                                <w:vertAlign w:val="baseline"/>
                              </w:rPr>
                              <w:br w:type="textWrapping"/>
                            </w:r>
                            <w:r w:rsidDel="00000000" w:rsidR="00000000" w:rsidRPr="00000000">
                              <w:rPr>
                                <w:rFonts w:ascii="Calibri" w:cs="Calibri" w:eastAsia="Calibri" w:hAnsi="Calibri"/>
                                <w:b w:val="0"/>
                                <w:i w:val="0"/>
                                <w:smallCaps w:val="0"/>
                                <w:strike w:val="0"/>
                                <w:color w:val="111111"/>
                                <w:sz w:val="28"/>
                                <w:vertAlign w:val="baseline"/>
                              </w:rPr>
                              <w:t xml:space="preserve">[4501 Stark Hollow Road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r w:rsidDel="00000000" w:rsidR="00000000" w:rsidRPr="00000000">
                              <w:rPr>
                                <w:rFonts w:ascii="Calibri" w:cs="Calibri" w:eastAsia="Calibri" w:hAnsi="Calibri"/>
                                <w:b w:val="0"/>
                                <w:i w:val="0"/>
                                <w:smallCaps w:val="0"/>
                                <w:strike w:val="0"/>
                                <w:color w:val="111111"/>
                                <w:sz w:val="28"/>
                                <w:vertAlign w:val="baseline"/>
                              </w:rPr>
                              <w:t xml:space="preserve">Houston, TX 80112]</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111111"/>
                                <w:sz w:val="28"/>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177800</wp:posOffset>
                </wp:positionV>
                <wp:extent cx="3244044" cy="2780021"/>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44044" cy="2780021"/>
                        </a:xfrm>
                        <a:prstGeom prst="rect"/>
                        <a:ln/>
                      </pic:spPr>
                    </pic:pic>
                  </a:graphicData>
                </a:graphic>
              </wp:anchor>
            </w:drawing>
          </mc:Fallback>
        </mc:AlternateContent>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1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1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1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1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F">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Execution</w:t>
            </w:r>
            <w:r w:rsidDel="00000000" w:rsidR="00000000" w:rsidRPr="00000000">
              <w:rPr>
                <w:rtl w:val="0"/>
              </w:rPr>
            </w:r>
          </w:p>
        </w:tc>
        <w:tc>
          <w:tcPr>
            <w:vAlign w:val="center"/>
          </w:tcPr>
          <w:p w:rsidR="00000000" w:rsidDel="00000000" w:rsidP="00000000" w:rsidRDefault="00000000" w:rsidRPr="00000000" w14:paraId="00000020">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2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5">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is a general contracting service company based in </w:t>
      </w:r>
      <w:r w:rsidDel="00000000" w:rsidR="00000000" w:rsidRPr="00000000">
        <w:rPr>
          <w:rFonts w:ascii="Calibri" w:cs="Calibri" w:eastAsia="Calibri" w:hAnsi="Calibri"/>
          <w:color w:val="111111"/>
          <w:highlight w:val="yellow"/>
          <w:rtl w:val="0"/>
        </w:rPr>
        <w:t xml:space="preserve">[Houston, Texas]</w:t>
      </w:r>
      <w:r w:rsidDel="00000000" w:rsidR="00000000" w:rsidRPr="00000000">
        <w:rPr>
          <w:rFonts w:ascii="Calibri" w:cs="Calibri" w:eastAsia="Calibri" w:hAnsi="Calibri"/>
          <w:color w:val="111111"/>
          <w:rtl w:val="0"/>
        </w:rPr>
        <w:t xml:space="preserve">. The company can complete small or large-scale construction projects for companies from different fields of business.</w:t>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directs its funding and marketing strategies around building a solid portfolio. Since Texas is in a good economic state, the company is looking at an increasing profit margin over the next three years.</w:t>
      </w:r>
    </w:p>
    <w:p w:rsidR="00000000" w:rsidDel="00000000" w:rsidP="00000000" w:rsidRDefault="00000000" w:rsidRPr="00000000" w14:paraId="0000004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w:t>
      </w: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mission to execute its services at the highest level of quality while also maintaining full transparency all throughout the process. </w:t>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The Company values honesty in all aspects and dealings of the business.</w:t>
      </w:r>
    </w:p>
    <w:p w:rsidR="00000000" w:rsidDel="00000000" w:rsidP="00000000" w:rsidRDefault="00000000" w:rsidRPr="00000000" w14:paraId="000000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vision is to be the go-to general contracting company in Houston. </w:t>
      </w:r>
    </w:p>
    <w:p w:rsidR="00000000" w:rsidDel="00000000" w:rsidP="00000000" w:rsidRDefault="00000000" w:rsidRPr="00000000" w14:paraId="0000005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Beginning in </w:t>
      </w:r>
      <w:r w:rsidDel="00000000" w:rsidR="00000000" w:rsidRPr="00000000">
        <w:rPr>
          <w:rFonts w:ascii="Calibri" w:cs="Calibri" w:eastAsia="Calibri" w:hAnsi="Calibri"/>
          <w:color w:val="111111"/>
          <w:highlight w:val="yellow"/>
          <w:rtl w:val="0"/>
        </w:rPr>
        <w:t xml:space="preserve">[2015]</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[Houston]</w:t>
      </w:r>
      <w:r w:rsidDel="00000000" w:rsidR="00000000" w:rsidRPr="00000000">
        <w:rPr>
          <w:rFonts w:ascii="Calibri" w:cs="Calibri" w:eastAsia="Calibri" w:hAnsi="Calibri"/>
          <w:color w:val="111111"/>
          <w:rtl w:val="0"/>
        </w:rPr>
        <w:t xml:space="preserve"> has seen an economic boom. This has resulted in the skyrocketing number of houses and buildings being built, and the trend continues up to this day. With this, </w:t>
      </w: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client base is set to grow at a steady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each year.</w:t>
      </w:r>
    </w:p>
    <w:p w:rsidR="00000000" w:rsidDel="00000000" w:rsidP="00000000" w:rsidRDefault="00000000" w:rsidRPr="00000000" w14:paraId="000000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Construction Industry</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[Billy Gilchrist]</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worth </w:t>
      </w:r>
      <w:r w:rsidDel="00000000" w:rsidR="00000000" w:rsidRPr="00000000">
        <w:rPr>
          <w:rFonts w:ascii="Calibri" w:cs="Calibri" w:eastAsia="Calibri" w:hAnsi="Calibri"/>
          <w:color w:val="111111"/>
          <w:highlight w:val="yellow"/>
          <w:rtl w:val="0"/>
        </w:rPr>
        <w:t xml:space="preserve">[300k]</w:t>
      </w:r>
      <w:r w:rsidDel="00000000" w:rsidR="00000000" w:rsidRPr="00000000">
        <w:rPr>
          <w:rFonts w:ascii="Calibri" w:cs="Calibri" w:eastAsia="Calibri" w:hAnsi="Calibri"/>
          <w:color w:val="111111"/>
          <w:rtl w:val="0"/>
        </w:rPr>
        <w:t xml:space="preserve"> USD is to be provided by the owner and to be used mainly for supplies, payroll, operational expenses, and business fees.</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832"/>
        <w:gridCol w:w="2523"/>
        <w:tblGridChange w:id="0">
          <w:tblGrid>
            <w:gridCol w:w="6832"/>
            <w:gridCol w:w="2523"/>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bl>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70"/>
        <w:gridCol w:w="2250"/>
        <w:gridCol w:w="5045"/>
        <w:tblGridChange w:id="0">
          <w:tblGrid>
            <w:gridCol w:w="2070"/>
            <w:gridCol w:w="2250"/>
            <w:gridCol w:w="50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[Henry Ferguson]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CEO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and leadership</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ind w:left="-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[Jorge Landers]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Strategies and Performance Monitoring</w:t>
            </w:r>
          </w:p>
        </w:tc>
      </w:tr>
    </w:tbl>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45"/>
        <w:gridCol w:w="5220"/>
        <w:tblGridChange w:id="0">
          <w:tblGrid>
            <w:gridCol w:w="4145"/>
            <w:gridCol w:w="52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up the company’s industry connections</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actively seeking out subcontractors willing to work with Bill Gil Construction.</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Renovate the general contractor’s office</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putting subcontractors to the test by hiring them to handle the renovation of its office space.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 new departments to the company to eliminate the need for subcontractors </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budget plan has been approved. </w:t>
            </w:r>
          </w:p>
        </w:tc>
      </w:tr>
    </w:tbl>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deploys licensed professionals, with extensive connections in the construction industry, to oversee projects. Depending on the scale of the project and completion date, the company may or may not hire subcontractors for some portions of the construction work.</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has subcontractors and affiliates that can work even on the weekends. This allows the company to ensure timely completion of the projects.</w:t>
      </w:r>
    </w:p>
    <w:p w:rsidR="00000000" w:rsidDel="00000000" w:rsidP="00000000" w:rsidRDefault="00000000" w:rsidRPr="00000000" w14:paraId="000000D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The Company matches the standard pricing level of </w:t>
      </w:r>
      <w:r w:rsidDel="00000000" w:rsidR="00000000" w:rsidRPr="00000000">
        <w:rPr>
          <w:rFonts w:ascii="Calibri" w:cs="Calibri" w:eastAsia="Calibri" w:hAnsi="Calibri"/>
          <w:color w:val="111111"/>
          <w:highlight w:val="yellow"/>
          <w:rtl w:val="0"/>
        </w:rPr>
        <w:t xml:space="preserve">[Houston’s]</w:t>
      </w:r>
      <w:r w:rsidDel="00000000" w:rsidR="00000000" w:rsidRPr="00000000">
        <w:rPr>
          <w:rFonts w:ascii="Calibri" w:cs="Calibri" w:eastAsia="Calibri" w:hAnsi="Calibri"/>
          <w:color w:val="111111"/>
          <w:rtl w:val="0"/>
        </w:rPr>
        <w:t xml:space="preserve"> market.</w:t>
      </w:r>
    </w:p>
    <w:p w:rsidR="00000000" w:rsidDel="00000000" w:rsidP="00000000" w:rsidRDefault="00000000" w:rsidRPr="00000000" w14:paraId="000000D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color w:val="404040"/>
          <w:sz w:val="20"/>
          <w:szCs w:val="20"/>
        </w:rPr>
      </w:pPr>
      <w:r w:rsidDel="00000000" w:rsidR="00000000" w:rsidRPr="00000000">
        <w:rPr>
          <w:rFonts w:ascii="Calibri" w:cs="Calibri" w:eastAsia="Calibri" w:hAnsi="Calibri"/>
          <w:color w:val="404040"/>
          <w:rtl w:val="0"/>
        </w:rPr>
        <w:t xml:space="preserve">Formula:</w:t>
      </w:r>
      <w:r w:rsidDel="00000000" w:rsidR="00000000" w:rsidRPr="00000000">
        <w:rPr>
          <w:rtl w:val="0"/>
        </w:rPr>
      </w:r>
    </w:p>
    <w:p w:rsidR="00000000" w:rsidDel="00000000" w:rsidP="00000000" w:rsidRDefault="00000000" w:rsidRPr="00000000" w14:paraId="000000D9">
      <w:pPr>
        <w:jc w:val="both"/>
        <w:rPr>
          <w:color w:val="404040"/>
          <w:sz w:val="20"/>
          <w:szCs w:val="20"/>
        </w:rPr>
      </w:pPr>
      <w:r w:rsidDel="00000000" w:rsidR="00000000" w:rsidRPr="00000000">
        <w:rPr>
          <w:rFonts w:ascii="Calibri" w:cs="Calibri" w:eastAsia="Calibri" w:hAnsi="Calibri"/>
          <w:color w:val="404040"/>
          <w:rtl w:val="0"/>
        </w:rPr>
        <w:t xml:space="preserve">Profit Margin   = 1- (Expenses/Net Sales)</w:t>
      </w:r>
      <w:r w:rsidDel="00000000" w:rsidR="00000000" w:rsidRPr="00000000">
        <w:rPr>
          <w:rtl w:val="0"/>
        </w:rPr>
      </w:r>
    </w:p>
    <w:p w:rsidR="00000000" w:rsidDel="00000000" w:rsidP="00000000" w:rsidRDefault="00000000" w:rsidRPr="00000000" w14:paraId="000000DA">
      <w:pPr>
        <w:jc w:val="both"/>
        <w:rPr>
          <w:color w:val="404040"/>
          <w:sz w:val="20"/>
          <w:szCs w:val="20"/>
        </w:rPr>
      </w:pPr>
      <w:r w:rsidDel="00000000" w:rsidR="00000000" w:rsidRPr="00000000">
        <w:rPr>
          <w:rtl w:val="0"/>
        </w:rPr>
      </w:r>
    </w:p>
    <w:p w:rsidR="00000000" w:rsidDel="00000000" w:rsidP="00000000" w:rsidRDefault="00000000" w:rsidRPr="00000000" w14:paraId="000000DB">
      <w:pPr>
        <w:jc w:val="both"/>
        <w:rPr>
          <w:color w:val="404040"/>
          <w:sz w:val="20"/>
          <w:szCs w:val="20"/>
        </w:rPr>
      </w:pPr>
      <w:r w:rsidDel="00000000" w:rsidR="00000000" w:rsidRPr="00000000">
        <w:rPr>
          <w:rFonts w:ascii="Calibri" w:cs="Calibri" w:eastAsia="Calibri" w:hAnsi="Calibri"/>
          <w:color w:val="404040"/>
          <w:highlight w:val="yellow"/>
          <w:rtl w:val="0"/>
        </w:rPr>
        <w:t xml:space="preserve">[Bill Gil Construction]</w:t>
      </w:r>
      <w:r w:rsidDel="00000000" w:rsidR="00000000" w:rsidRPr="00000000">
        <w:rPr>
          <w:rtl w:val="0"/>
        </w:rPr>
      </w:r>
    </w:p>
    <w:p w:rsidR="00000000" w:rsidDel="00000000" w:rsidP="00000000" w:rsidRDefault="00000000" w:rsidRPr="00000000" w14:paraId="000000DC">
      <w:pPr>
        <w:jc w:val="both"/>
        <w:rPr>
          <w:color w:val="404040"/>
          <w:sz w:val="20"/>
          <w:szCs w:val="20"/>
        </w:rPr>
      </w:pPr>
      <w:r w:rsidDel="00000000" w:rsidR="00000000" w:rsidRPr="00000000">
        <w:rPr>
          <w:rFonts w:ascii="Calibri" w:cs="Calibri" w:eastAsia="Calibri" w:hAnsi="Calibri"/>
          <w:color w:val="404040"/>
          <w:rtl w:val="0"/>
        </w:rPr>
        <w:t xml:space="preserve">Profit Margin     = 1 - ($241,000/$501,000)</w:t>
      </w:r>
      <w:r w:rsidDel="00000000" w:rsidR="00000000" w:rsidRPr="00000000">
        <w:rPr>
          <w:rtl w:val="0"/>
        </w:rPr>
      </w:r>
    </w:p>
    <w:p w:rsidR="00000000" w:rsidDel="00000000" w:rsidP="00000000" w:rsidRDefault="00000000" w:rsidRPr="00000000" w14:paraId="000000DD">
      <w:pPr>
        <w:jc w:val="both"/>
        <w:rPr>
          <w:color w:val="404040"/>
          <w:sz w:val="20"/>
          <w:szCs w:val="20"/>
        </w:rPr>
      </w:pPr>
      <w:r w:rsidDel="00000000" w:rsidR="00000000" w:rsidRPr="00000000">
        <w:rPr>
          <w:rFonts w:ascii="Calibri" w:cs="Calibri" w:eastAsia="Calibri" w:hAnsi="Calibri"/>
          <w:color w:val="404040"/>
          <w:rtl w:val="0"/>
        </w:rPr>
        <w:t xml:space="preserve">                             = 1-0.48</w:t>
      </w:r>
      <w:r w:rsidDel="00000000" w:rsidR="00000000" w:rsidRPr="00000000">
        <w:rPr>
          <w:rtl w:val="0"/>
        </w:rPr>
      </w:r>
    </w:p>
    <w:p w:rsidR="00000000" w:rsidDel="00000000" w:rsidP="00000000" w:rsidRDefault="00000000" w:rsidRPr="00000000" w14:paraId="000000DE">
      <w:pPr>
        <w:jc w:val="both"/>
        <w:rPr>
          <w:color w:val="404040"/>
          <w:sz w:val="20"/>
          <w:szCs w:val="20"/>
        </w:rPr>
      </w:pPr>
      <w:r w:rsidDel="00000000" w:rsidR="00000000" w:rsidRPr="00000000">
        <w:rPr>
          <w:rFonts w:ascii="Calibri" w:cs="Calibri" w:eastAsia="Calibri" w:hAnsi="Calibri"/>
          <w:color w:val="404040"/>
          <w:rtl w:val="0"/>
        </w:rPr>
        <w:t xml:space="preserve">                             = 0.52 or 52%</w:t>
      </w: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404040"/>
          <w:sz w:val="20"/>
          <w:szCs w:val="20"/>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brand-awareness strategies focus on having its logo and branding attached to its heavy machinery. Apart from this, the company will also focus on building a strong portfolio. </w:t>
      </w: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believes that a good background and strong business relationships will make it thrive successfully for a longer period of time.</w:t>
      </w: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receives projects of any size, be it an apartment or a large commercial building</w:t>
      </w:r>
      <w:r w:rsidDel="00000000" w:rsidR="00000000" w:rsidRPr="00000000">
        <w:rPr>
          <w:rFonts w:ascii="Calibri" w:cs="Calibri" w:eastAsia="Calibri" w:hAnsi="Calibri"/>
          <w:color w:val="111111"/>
          <w:highlight w:val="white"/>
          <w:rtl w:val="0"/>
        </w:rPr>
        <w:t xml:space="preserve">. This is what the company differentiates from most of the general contractors in </w:t>
      </w:r>
      <w:r w:rsidDel="00000000" w:rsidR="00000000" w:rsidRPr="00000000">
        <w:rPr>
          <w:rFonts w:ascii="Calibri" w:cs="Calibri" w:eastAsia="Calibri" w:hAnsi="Calibri"/>
          <w:color w:val="111111"/>
          <w:highlight w:val="yellow"/>
          <w:rtl w:val="0"/>
        </w:rPr>
        <w:t xml:space="preserve">[Houston]</w:t>
      </w:r>
      <w:r w:rsidDel="00000000" w:rsidR="00000000" w:rsidRPr="00000000">
        <w:rPr>
          <w:rFonts w:ascii="Calibri" w:cs="Calibri" w:eastAsia="Calibri" w:hAnsi="Calibri"/>
          <w:color w:val="111111"/>
          <w:highlight w:val="white"/>
          <w:rtl w:val="0"/>
        </w:rPr>
        <w:t xml:space="preserve">. Recent market data reveals that seven out of 10 general contractors in Houston are only open to managing large-scale projects. The rest are mostly focused on building residential buildings.</w:t>
      </w: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10"/>
        <w:gridCol w:w="1890"/>
        <w:gridCol w:w="1890"/>
        <w:gridCol w:w="2070"/>
        <w:gridCol w:w="1805"/>
        <w:tblGridChange w:id="0">
          <w:tblGrid>
            <w:gridCol w:w="1710"/>
            <w:gridCol w:w="1890"/>
            <w:gridCol w:w="1890"/>
            <w:gridCol w:w="2070"/>
            <w:gridCol w:w="18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[Bill Gil Construction]</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Timely completion of projects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not built enough credibility yet</w:t>
            </w:r>
          </w:p>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improving economy resulting in clients expanding their businesses by building new stores or offices</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Competitors with a strong portfolio retain customer loyalty</w:t>
            </w:r>
          </w:p>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tl w:val="0"/>
              </w:rPr>
            </w:r>
          </w:p>
        </w:tc>
      </w:tr>
      <w:tr>
        <w:trPr>
          <w:trHeight w:val="1560" w:hRule="atLeast"/>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[Ace General Contractors Incorporated]</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commands the most significant market share</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Hard-to-reach client support</w:t>
            </w:r>
          </w:p>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Melon Construction Company</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an exceedingly positive reputation</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unable to extend after-sales services</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[Bill Gil Construction]</w:t>
      </w:r>
      <w:r w:rsidDel="00000000" w:rsidR="00000000" w:rsidRPr="00000000">
        <w:rPr>
          <w:rFonts w:ascii="Calibri" w:cs="Calibri" w:eastAsia="Calibri" w:hAnsi="Calibri"/>
          <w:color w:val="111111"/>
          <w:rtl w:val="0"/>
        </w:rPr>
        <w:t xml:space="preserve"> plans to make full use of its website and client testimonials in getting the attention of potential clients before making a strong case and participate in the bidding process.</w:t>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team has started the implementation of various activities. Here are some of the updates:</w:t>
      </w:r>
    </w:p>
    <w:p w:rsidR="00000000" w:rsidDel="00000000" w:rsidP="00000000" w:rsidRDefault="00000000" w:rsidRPr="00000000" w14:paraId="00000109">
      <w:pPr>
        <w:ind w:left="720"/>
        <w:jc w:val="both"/>
        <w:rPr>
          <w:rFonts w:ascii="Calibri" w:cs="Calibri" w:eastAsia="Calibri" w:hAnsi="Calibri"/>
          <w:color w:val="111111"/>
        </w:rPr>
      </w:pPr>
      <w:r w:rsidDel="00000000" w:rsidR="00000000" w:rsidRPr="00000000">
        <w:rPr>
          <w:rtl w:val="0"/>
        </w:rPr>
      </w:r>
    </w:p>
    <w:tbl>
      <w:tblPr>
        <w:tblStyle w:val="Table6"/>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700"/>
        <w:gridCol w:w="1250"/>
        <w:gridCol w:w="3255"/>
        <w:tblGridChange w:id="0">
          <w:tblGrid>
            <w:gridCol w:w="2160"/>
            <w:gridCol w:w="2700"/>
            <w:gridCol w:w="1250"/>
            <w:gridCol w:w="3255"/>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Optimization</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writer sees to it that the blogs are compliant with current SEO standards.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25, 2019</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Significant number of website visits and inquiries.</w:t>
            </w:r>
          </w:p>
        </w:tc>
      </w:tr>
      <w:t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Client testimonials</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Supervisors to filter the content that will be added on the website</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26, 2019</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clients chose the company because they were moved by the testimonials.</w:t>
            </w:r>
          </w:p>
        </w:tc>
      </w:tr>
    </w:tbl>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w:t>
      </w:r>
      <w:r w:rsidDel="00000000" w:rsidR="00000000" w:rsidRPr="00000000">
        <w:rPr>
          <w:rFonts w:ascii="Calibri" w:cs="Calibri" w:eastAsia="Calibri" w:hAnsi="Calibri"/>
          <w:color w:val="111111"/>
          <w:highlight w:val="yellow"/>
          <w:rtl w:val="0"/>
        </w:rPr>
        <w:t xml:space="preserve">[Mr. Billy Gilchrist]</w:t>
      </w:r>
      <w:r w:rsidDel="00000000" w:rsidR="00000000" w:rsidRPr="00000000">
        <w:rPr>
          <w:rFonts w:ascii="Calibri" w:cs="Calibri" w:eastAsia="Calibri" w:hAnsi="Calibri"/>
          <w:color w:val="111111"/>
          <w:rtl w:val="0"/>
        </w:rPr>
        <w:t xml:space="preserve">, runs the company. An operations manager, marketing specialist, and one human resource manager will oversee the flow of the business. For client issues and concerns, two customer service representatives are tasked to handle them. </w:t>
      </w:r>
    </w:p>
    <w:p w:rsidR="00000000" w:rsidDel="00000000" w:rsidP="00000000" w:rsidRDefault="00000000" w:rsidRPr="00000000" w14:paraId="0000011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tbl>
      <w:tblPr>
        <w:tblStyle w:val="Table7"/>
        <w:tblW w:w="945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210"/>
        <w:gridCol w:w="3245"/>
        <w:tblGridChange w:id="0">
          <w:tblGrid>
            <w:gridCol w:w="6210"/>
            <w:gridCol w:w="32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Contractor Foreman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Sage 100 Contractor (formerly Sage Master Builder)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Vehicles and Trucks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Equipment (Bulldozers, Backhoe Loaders, Excavators, and Graders)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bl>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 website which allows clients to contact the company and a server room that connects and saves all data that the company uses.</w:t>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the company’s confidence in being able to penetrate the market. The major expenses will be on the acquisition of tools and heavy equipment, payroll, and legal fees. The company plans on expanding to other states in the US.</w:t>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24550" cy="32004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2455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24550" cy="3193415"/>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24550" cy="3193415"/>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capital comes from </w:t>
      </w:r>
      <w:r w:rsidDel="00000000" w:rsidR="00000000" w:rsidRPr="00000000">
        <w:rPr>
          <w:rFonts w:ascii="Calibri" w:cs="Calibri" w:eastAsia="Calibri" w:hAnsi="Calibri"/>
          <w:color w:val="111111"/>
          <w:highlight w:val="yellow"/>
          <w:rtl w:val="0"/>
        </w:rPr>
        <w:t xml:space="preserve">[Mr. Billy Gilchrist’s]</w:t>
      </w:r>
      <w:r w:rsidDel="00000000" w:rsidR="00000000" w:rsidRPr="00000000">
        <w:rPr>
          <w:rFonts w:ascii="Calibri" w:cs="Calibri" w:eastAsia="Calibri" w:hAnsi="Calibri"/>
          <w:color w:val="111111"/>
          <w:rtl w:val="0"/>
        </w:rPr>
        <w:t xml:space="preserve"> business loan.</w:t>
      </w:r>
    </w:p>
    <w:p w:rsidR="00000000" w:rsidDel="00000000" w:rsidP="00000000" w:rsidRDefault="00000000" w:rsidRPr="00000000" w14:paraId="0000014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50">
      <w:pPr>
        <w:rPr>
          <w:rFonts w:ascii="Calibri" w:cs="Calibri" w:eastAsia="Calibri" w:hAnsi="Calibri"/>
          <w:color w:val="111111"/>
        </w:rPr>
      </w:pPr>
      <w:r w:rsidDel="00000000" w:rsidR="00000000" w:rsidRPr="00000000">
        <w:rPr>
          <w:rtl w:val="0"/>
        </w:rPr>
      </w:r>
    </w:p>
    <w:tbl>
      <w:tblPr>
        <w:tblStyle w:val="Table8"/>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350"/>
        <w:gridCol w:w="1533"/>
        <w:gridCol w:w="1620"/>
        <w:tblGridChange w:id="0">
          <w:tblGrid>
            <w:gridCol w:w="4852"/>
            <w:gridCol w:w="1350"/>
            <w:gridCol w:w="1533"/>
            <w:gridCol w:w="162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$289,500.00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44.29%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55.46%</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$285,000.00</w:t>
            </w:r>
            <w:r w:rsidDel="00000000" w:rsidR="00000000" w:rsidRPr="00000000">
              <w:rPr>
                <w:rtl w:val="0"/>
              </w:rPr>
            </w:r>
          </w:p>
        </w:tc>
      </w:tr>
    </w:tbl>
    <w:p w:rsidR="00000000" w:rsidDel="00000000" w:rsidP="00000000" w:rsidRDefault="00000000" w:rsidRPr="00000000" w14:paraId="000001A9">
      <w:pPr>
        <w:rPr>
          <w:rFonts w:ascii="Calibri" w:cs="Calibri" w:eastAsia="Calibri" w:hAnsi="Calibri"/>
          <w:color w:val="111111"/>
        </w:rPr>
      </w:pPr>
      <w:r w:rsidDel="00000000" w:rsidR="00000000" w:rsidRPr="00000000">
        <w:rPr>
          <w:rtl w:val="0"/>
        </w:rPr>
      </w:r>
    </w:p>
    <w:tbl>
      <w:tblPr>
        <w:tblStyle w:val="Table9"/>
        <w:tblW w:w="935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52"/>
        <w:gridCol w:w="1350"/>
        <w:gridCol w:w="1530"/>
        <w:gridCol w:w="1620"/>
        <w:tblGridChange w:id="0">
          <w:tblGrid>
            <w:gridCol w:w="4852"/>
            <w:gridCol w:w="1350"/>
            <w:gridCol w:w="1530"/>
            <w:gridCol w:w="162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E">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C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$323,000.00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$422,000.00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C6">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C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C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60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D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60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D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$326,500.00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$425,500.00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$526,500.00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DA">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D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E">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F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4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F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60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F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$315,500.00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$390,500.00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$513,500.00</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F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3.49%</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8.96%</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2.53%</w:t>
            </w:r>
            <w:r w:rsidDel="00000000" w:rsidR="00000000" w:rsidRPr="00000000">
              <w:rPr>
                <w:rtl w:val="0"/>
              </w:rPr>
            </w:r>
          </w:p>
        </w:tc>
      </w:tr>
    </w:tbl>
    <w:p w:rsidR="00000000" w:rsidDel="00000000" w:rsidP="00000000" w:rsidRDefault="00000000" w:rsidRPr="00000000" w14:paraId="00000202">
      <w:pPr>
        <w:rPr>
          <w:rFonts w:ascii="Calibri" w:cs="Calibri" w:eastAsia="Calibri" w:hAnsi="Calibri"/>
          <w:color w:val="111111"/>
        </w:rPr>
      </w:pPr>
      <w:r w:rsidDel="00000000" w:rsidR="00000000" w:rsidRPr="00000000">
        <w:rPr>
          <w:rtl w:val="0"/>
        </w:rPr>
      </w:r>
    </w:p>
    <w:tbl>
      <w:tblPr>
        <w:tblStyle w:val="Table10"/>
        <w:tblW w:w="935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52"/>
        <w:gridCol w:w="1350"/>
        <w:gridCol w:w="1530"/>
        <w:gridCol w:w="1620"/>
        <w:tblGridChange w:id="0">
          <w:tblGrid>
            <w:gridCol w:w="4852"/>
            <w:gridCol w:w="1350"/>
            <w:gridCol w:w="1530"/>
            <w:gridCol w:w="162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0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0F">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$368,000.00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$221,000.00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$115,500.00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$262,000.00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$105,500.00</w:t>
            </w:r>
            <w:r w:rsidDel="00000000" w:rsidR="00000000" w:rsidRPr="00000000">
              <w:rPr>
                <w:rtl w:val="0"/>
              </w:rPr>
            </w:r>
          </w:p>
        </w:tc>
      </w:tr>
    </w:tbl>
    <w:p w:rsidR="00000000" w:rsidDel="00000000" w:rsidP="00000000" w:rsidRDefault="00000000" w:rsidRPr="00000000" w14:paraId="0000024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4C">
      <w:pPr>
        <w:rPr>
          <w:rFonts w:ascii="Calibri" w:cs="Calibri" w:eastAsia="Calibri" w:hAnsi="Calibri"/>
          <w:sz w:val="24"/>
          <w:szCs w:val="24"/>
        </w:rPr>
      </w:pP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jc w:val="right"/>
      <w:rPr>
        <w:rFonts w:ascii="Calibri" w:cs="Calibri" w:eastAsia="Calibri" w:hAnsi="Calibri"/>
        <w:sz w:val="24"/>
        <w:szCs w:val="24"/>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1765300</wp:posOffset>
              </wp:positionH>
              <wp:positionV relativeFrom="paragraph">
                <wp:posOffset>444500</wp:posOffset>
              </wp:positionV>
              <wp:extent cx="5276850" cy="314325"/>
              <wp:effectExtent b="0" l="0" r="0" t="0"/>
              <wp:wrapSquare wrapText="bothSides" distB="0" distT="0" distL="0" distR="0"/>
              <wp:docPr id="2" name=""/>
              <a:graphic>
                <a:graphicData uri="http://schemas.microsoft.com/office/word/2010/wordprocessingShape">
                  <wps:wsp>
                    <wps:cNvSpPr/>
                    <wps:cNvPr id="3" name="Shape 3"/>
                    <wps:spPr>
                      <a:xfrm>
                        <a:off x="2712338" y="3627600"/>
                        <a:ext cx="5267325" cy="304800"/>
                      </a:xfrm>
                      <a:prstGeom prst="rect">
                        <a:avLst/>
                      </a:prstGeom>
                      <a:solidFill>
                        <a:srgbClr val="DA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1765300</wp:posOffset>
              </wp:positionH>
              <wp:positionV relativeFrom="paragraph">
                <wp:posOffset>444500</wp:posOffset>
              </wp:positionV>
              <wp:extent cx="5276850" cy="31432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76850" cy="314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