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355600</wp:posOffset>
                </wp:positionV>
                <wp:extent cx="5596693" cy="6507341"/>
                <wp:effectExtent b="0" l="0" r="0" t="0"/>
                <wp:wrapNone/>
                <wp:docPr id="1" name=""/>
                <a:graphic>
                  <a:graphicData uri="http://schemas.microsoft.com/office/word/2010/wordprocessingGroup">
                    <wpg:wgp>
                      <wpg:cNvGrpSpPr/>
                      <wpg:grpSpPr>
                        <a:xfrm>
                          <a:off x="2547654" y="521104"/>
                          <a:ext cx="5596693" cy="6507341"/>
                          <a:chOff x="2547654" y="521104"/>
                          <a:chExt cx="5596693" cy="6517793"/>
                        </a:xfrm>
                      </wpg:grpSpPr>
                      <wpg:grpSp>
                        <wpg:cNvGrpSpPr/>
                        <wpg:grpSpPr>
                          <a:xfrm>
                            <a:off x="2547654" y="521104"/>
                            <a:ext cx="5596693" cy="6517793"/>
                            <a:chOff x="0" y="0"/>
                            <a:chExt cx="5596693" cy="6517793"/>
                          </a:xfrm>
                        </wpg:grpSpPr>
                        <wps:wsp>
                          <wps:cNvSpPr/>
                          <wps:cNvPr id="3" name="Shape 3"/>
                          <wps:spPr>
                            <a:xfrm>
                              <a:off x="0" y="0"/>
                              <a:ext cx="5596675" cy="6517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41889"/>
                              <a:ext cx="1275347" cy="628015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749973" y="0"/>
                              <a:ext cx="3705726" cy="1828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81818"/>
                                    <w:sz w:val="74"/>
                                    <w:vertAlign w:val="baseline"/>
                                  </w:rPr>
                                  <w:t xml:space="preserve">FINANCIAL ADVISOR BUSINESS PLAN</w:t>
                                </w:r>
                              </w:p>
                            </w:txbxContent>
                          </wps:txbx>
                          <wps:bodyPr anchorCtr="0" anchor="t" bIns="45700" lIns="91425" spcFirstLastPara="1" rIns="91425" wrap="square" tIns="45700">
                            <a:noAutofit/>
                          </wps:bodyPr>
                        </wps:wsp>
                        <wps:wsp>
                          <wps:cNvCnPr/>
                          <wps:spPr>
                            <a:xfrm>
                              <a:off x="1923393" y="2128345"/>
                              <a:ext cx="1229360" cy="0"/>
                            </a:xfrm>
                            <a:prstGeom prst="straightConnector1">
                              <a:avLst/>
                            </a:prstGeom>
                            <a:noFill/>
                            <a:ln cap="flat" cmpd="sng" w="38100">
                              <a:solidFill>
                                <a:srgbClr val="0070C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765738" y="3452648"/>
                              <a:ext cx="3830955" cy="42487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2"/>
                                    <w:vertAlign w:val="baseline"/>
                                  </w:rPr>
                                  <w:t xml:space="preserve">Business Plan For Fiscal Year 2019</w:t>
                                </w:r>
                                <w:r w:rsidDel="00000000" w:rsidR="00000000" w:rsidRPr="00000000">
                                  <w:rPr>
                                    <w:rFonts w:ascii="Calibri" w:cs="Calibri" w:eastAsia="Calibri" w:hAnsi="Calibri"/>
                                    <w:b w:val="1"/>
                                    <w:i w:val="0"/>
                                    <w:smallCaps w:val="0"/>
                                    <w:strike w:val="0"/>
                                    <w:color w:val="181818"/>
                                    <w:sz w:val="32"/>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81818"/>
                                    <w:sz w:val="32"/>
                                    <w:vertAlign w:val="baseline"/>
                                  </w:rPr>
                                </w:r>
                              </w:p>
                            </w:txbxContent>
                          </wps:txbx>
                          <wps:bodyPr anchorCtr="0" anchor="t" bIns="45700" lIns="91425" spcFirstLastPara="1" rIns="91425" wrap="square" tIns="45700">
                            <a:noAutofit/>
                          </wps:bodyPr>
                        </wps:wsp>
                        <wps:wsp>
                          <wps:cNvSpPr/>
                          <wps:cNvPr id="8" name="Shape 8"/>
                          <wps:spPr>
                            <a:xfrm>
                              <a:off x="1765738" y="4067503"/>
                              <a:ext cx="3830955" cy="42481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t xml:space="preserve">[February 1, 2019]</w:t>
                                </w:r>
                              </w:p>
                            </w:txbxContent>
                          </wps:txbx>
                          <wps:bodyPr anchorCtr="0" anchor="t" bIns="45700" lIns="91425" spcFirstLastPara="1" rIns="91425" wrap="square" tIns="45700">
                            <a:noAutofit/>
                          </wps:bodyPr>
                        </wps:wsp>
                        <wps:wsp>
                          <wps:cNvSpPr/>
                          <wps:cNvPr id="9" name="Shape 9"/>
                          <wps:spPr>
                            <a:xfrm>
                              <a:off x="1765738" y="4824248"/>
                              <a:ext cx="2853055" cy="16935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t xml:space="preserve">[Dean Furlong]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r>
                                <w:r w:rsidDel="00000000" w:rsidR="00000000" w:rsidRPr="00000000">
                                  <w:rPr>
                                    <w:rFonts w:ascii="Calibri" w:cs="Calibri" w:eastAsia="Calibri" w:hAnsi="Calibri"/>
                                    <w:b w:val="1"/>
                                    <w:i w:val="0"/>
                                    <w:smallCaps w:val="0"/>
                                    <w:strike w:val="0"/>
                                    <w:color w:val="181818"/>
                                    <w:sz w:val="30"/>
                                    <w:vertAlign w:val="baseline"/>
                                  </w:rPr>
                                  <w:t xml:space="preserve">[deanfurlong@gmail.com]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r>
                                <w:r w:rsidDel="00000000" w:rsidR="00000000" w:rsidRPr="00000000">
                                  <w:rPr>
                                    <w:rFonts w:ascii="Calibri" w:cs="Calibri" w:eastAsia="Calibri" w:hAnsi="Calibri"/>
                                    <w:b w:val="1"/>
                                    <w:i w:val="0"/>
                                    <w:smallCaps w:val="0"/>
                                    <w:strike w:val="0"/>
                                    <w:color w:val="181818"/>
                                    <w:sz w:val="30"/>
                                    <w:vertAlign w:val="baseline"/>
                                  </w:rPr>
                                  <w:t xml:space="preserve">[614-563-6301]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r>
                                <w:r w:rsidDel="00000000" w:rsidR="00000000" w:rsidRPr="00000000">
                                  <w:rPr>
                                    <w:rFonts w:ascii="Calibri" w:cs="Calibri" w:eastAsia="Calibri" w:hAnsi="Calibri"/>
                                    <w:b w:val="1"/>
                                    <w:i w:val="0"/>
                                    <w:smallCaps w:val="0"/>
                                    <w:strike w:val="0"/>
                                    <w:color w:val="181818"/>
                                    <w:sz w:val="30"/>
                                    <w:vertAlign w:val="baseline"/>
                                  </w:rPr>
                                  <w:t xml:space="preserve">[www.deanfurlong.com]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r>
                                <w:r w:rsidDel="00000000" w:rsidR="00000000" w:rsidRPr="00000000">
                                  <w:rPr>
                                    <w:rFonts w:ascii="Calibri" w:cs="Calibri" w:eastAsia="Calibri" w:hAnsi="Calibri"/>
                                    <w:b w:val="1"/>
                                    <w:i w:val="0"/>
                                    <w:smallCaps w:val="0"/>
                                    <w:strike w:val="0"/>
                                    <w:color w:val="181818"/>
                                    <w:sz w:val="30"/>
                                    <w:vertAlign w:val="baseline"/>
                                  </w:rPr>
                                  <w:t xml:space="preserve">[4576 Farnum Road New York City, New York 10016, USA]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355600</wp:posOffset>
                </wp:positionV>
                <wp:extent cx="5596693" cy="6507341"/>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596693" cy="6507341"/>
                        </a:xfrm>
                        <a:prstGeom prst="rect"/>
                        <a:ln/>
                      </pic:spPr>
                    </pic:pic>
                  </a:graphicData>
                </a:graphic>
              </wp:anchor>
            </w:drawing>
          </mc:Fallback>
        </mc:AlternateContent>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2D">
      <w:pPr>
        <w:ind w:left="720"/>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p>
    <w:p w:rsidR="00000000" w:rsidDel="00000000" w:rsidP="00000000" w:rsidRDefault="00000000" w:rsidRPr="00000000" w14:paraId="0000002E">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             Executive Summary</w:t>
        <w:br w:type="textWrapping"/>
        <w:t xml:space="preserve">Company Overview</w:t>
        <w:br w:type="textWrapping"/>
        <w:t xml:space="preserve">Services</w:t>
        <w:br w:type="textWrapping"/>
        <w:t xml:space="preserve">Execution</w:t>
        <w:br w:type="textWrapping"/>
        <w:t xml:space="preserve">Operational Plan</w:t>
        <w:br w:type="textWrapping"/>
        <w:t xml:space="preserve">Financial Plan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1238479" cy="1501826"/>
                <wp:effectExtent b="0" l="0" r="0" t="0"/>
                <wp:wrapNone/>
                <wp:docPr id="2" name=""/>
                <a:graphic>
                  <a:graphicData uri="http://schemas.microsoft.com/office/word/2010/wordprocessingShape">
                    <wps:wsp>
                      <wps:cNvSpPr/>
                      <wps:cNvPr id="10" name="Shape 10"/>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0</wp:posOffset>
                </wp:positionV>
                <wp:extent cx="1238479" cy="1501826"/>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will offer financial advisory services in the city of New York. The financial advisory industry is continuously growing as more people and businesses become more conscious of their finances.</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aims to establish its brand presence through the use of social media and also plans on attending training on financial advisory to increase its connections with other professionals in the field.</w:t>
      </w:r>
    </w:p>
    <w:p w:rsidR="00000000" w:rsidDel="00000000" w:rsidP="00000000" w:rsidRDefault="00000000" w:rsidRPr="00000000" w14:paraId="0000004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Mission Statement:</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provides objective financial advice to its clients.</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Philosophy:</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empathizes and always on focus in dealing with and giving clients their needs.</w:t>
      </w:r>
    </w:p>
    <w:p w:rsidR="00000000" w:rsidDel="00000000" w:rsidP="00000000" w:rsidRDefault="00000000" w:rsidRPr="00000000" w14:paraId="0000005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Vision: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envisions to have a long-term financial advisory relationship with clients that is based on trust and confidence.</w:t>
      </w:r>
    </w:p>
    <w:p w:rsidR="00000000" w:rsidDel="00000000" w:rsidP="00000000" w:rsidRDefault="00000000" w:rsidRPr="00000000" w14:paraId="0000005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Outlook:</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Despite the presence of robo-advisors, the financial advisory industry is continuously thriving as more people and businesses become more conscious of their finances. In the US, financial advisory firms have opted to focus on specialties rather than offer a wide variety of services for different industries.</w:t>
      </w:r>
    </w:p>
    <w:p w:rsidR="00000000" w:rsidDel="00000000" w:rsidP="00000000" w:rsidRDefault="00000000" w:rsidRPr="00000000" w14:paraId="0000005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Type of Industry:</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Financial Advisory Industry</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Business Structure:</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Ownership:</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Sole Proprietorship,  Dean Furlong</w:t>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Start-Up Summary</w:t>
      </w:r>
      <w:r w:rsidDel="00000000" w:rsidR="00000000" w:rsidRPr="00000000">
        <w:rPr>
          <w:rFonts w:ascii="Calibri" w:cs="Calibri" w:eastAsia="Calibri" w:hAnsi="Calibri"/>
          <w:color w:val="111111"/>
          <w:sz w:val="24"/>
          <w:szCs w:val="24"/>
          <w:rtl w:val="0"/>
        </w:rPr>
        <w:t xml:space="preserve">:</w:t>
      </w:r>
      <w:r w:rsidDel="00000000" w:rsidR="00000000" w:rsidRPr="00000000">
        <w:rPr>
          <w:rFonts w:ascii="Calibri" w:cs="Calibri" w:eastAsia="Calibri" w:hAnsi="Calibri"/>
          <w:color w:val="111111"/>
          <w:rtl w:val="0"/>
        </w:rPr>
        <w:t xml:space="preserve"> The start-up cost is </w:t>
      </w:r>
      <w:r w:rsidDel="00000000" w:rsidR="00000000" w:rsidRPr="00000000">
        <w:rPr>
          <w:rFonts w:ascii="Calibri" w:cs="Calibri" w:eastAsia="Calibri" w:hAnsi="Calibri"/>
          <w:color w:val="111111"/>
          <w:highlight w:val="yellow"/>
          <w:rtl w:val="0"/>
        </w:rPr>
        <w:t xml:space="preserve">[308K USD]</w:t>
      </w:r>
      <w:r w:rsidDel="00000000" w:rsidR="00000000" w:rsidRPr="00000000">
        <w:rPr>
          <w:rFonts w:ascii="Calibri" w:cs="Calibri" w:eastAsia="Calibri" w:hAnsi="Calibri"/>
          <w:color w:val="111111"/>
          <w:rtl w:val="0"/>
        </w:rPr>
        <w:t xml:space="preserve">, which is to be provided by the owner and to be used mainly for the rent, insurance, supplies, and payroll.</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tbl>
      <w:tblPr>
        <w:tblStyle w:val="Table1"/>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900"/>
        <w:gridCol w:w="2100"/>
        <w:tblGridChange w:id="0">
          <w:tblGrid>
            <w:gridCol w:w="6900"/>
            <w:gridCol w:w="210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bl>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tl w:val="0"/>
        </w:rPr>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2025"/>
        <w:gridCol w:w="4800"/>
        <w:tblGridChange w:id="0">
          <w:tblGrid>
            <w:gridCol w:w="2175"/>
            <w:gridCol w:w="2025"/>
            <w:gridCol w:w="48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Dean Furlong</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Advisor</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numPr>
                <w:ilvl w:val="0"/>
                <w:numId w:val="1"/>
              </w:numPr>
              <w:ind w:left="47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Excellent communication and interpersonal skills</w:t>
            </w:r>
          </w:p>
          <w:p w:rsidR="00000000" w:rsidDel="00000000" w:rsidP="00000000" w:rsidRDefault="00000000" w:rsidRPr="00000000" w14:paraId="000000B9">
            <w:pPr>
              <w:widowControl w:val="0"/>
              <w:numPr>
                <w:ilvl w:val="0"/>
                <w:numId w:val="1"/>
              </w:numPr>
              <w:ind w:left="47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Can explain complex information simply and clearly</w:t>
            </w:r>
          </w:p>
          <w:p w:rsidR="00000000" w:rsidDel="00000000" w:rsidP="00000000" w:rsidRDefault="00000000" w:rsidRPr="00000000" w14:paraId="000000BA">
            <w:pPr>
              <w:widowControl w:val="0"/>
              <w:numPr>
                <w:ilvl w:val="0"/>
                <w:numId w:val="1"/>
              </w:numPr>
              <w:ind w:left="47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Can easily establish relationships with clients</w:t>
            </w:r>
          </w:p>
          <w:p w:rsidR="00000000" w:rsidDel="00000000" w:rsidP="00000000" w:rsidRDefault="00000000" w:rsidRPr="00000000" w14:paraId="000000BB">
            <w:pPr>
              <w:widowControl w:val="0"/>
              <w:numPr>
                <w:ilvl w:val="0"/>
                <w:numId w:val="1"/>
              </w:numPr>
              <w:ind w:left="47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Has analytical skills</w:t>
            </w:r>
          </w:p>
        </w:tc>
      </w:tr>
    </w:tbl>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tbl>
      <w:tblPr>
        <w:tblStyle w:val="Table3"/>
        <w:tblW w:w="939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gridCol w:w="4320"/>
        <w:tblGridChange w:id="0">
          <w:tblGrid>
            <w:gridCol w:w="507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Find an office space in New York City</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already found an office space available on March 1, 2019</w:t>
            </w:r>
          </w:p>
        </w:tc>
      </w:tr>
      <w:t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Attend a training on financial advisory</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has already registered for a 5-day training on February 23 to 28,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Obtain a Series 6 license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already took the Series 6 examination last February 15, 2019</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Expand the firm and hire other employees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is already preparing a financial plan for the expansion.</w:t>
            </w:r>
          </w:p>
        </w:tc>
      </w:tr>
    </w:tbl>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C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Services</w:t>
      </w:r>
    </w:p>
    <w:p w:rsidR="00000000" w:rsidDel="00000000" w:rsidP="00000000" w:rsidRDefault="00000000" w:rsidRPr="00000000" w14:paraId="000000CE">
      <w:pPr>
        <w:ind w:left="144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Product/Service Description:</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D0">
      <w:pPr>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offers financial advice and financial planning on the following:</w:t>
      </w:r>
    </w:p>
    <w:p w:rsidR="00000000" w:rsidDel="00000000" w:rsidP="00000000" w:rsidRDefault="00000000" w:rsidRPr="00000000" w14:paraId="000000D1">
      <w:pPr>
        <w:numPr>
          <w:ilvl w:val="0"/>
          <w:numId w:val="2"/>
        </w:numPr>
        <w:ind w:left="36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 review</w:t>
      </w:r>
    </w:p>
    <w:p w:rsidR="00000000" w:rsidDel="00000000" w:rsidP="00000000" w:rsidRDefault="00000000" w:rsidRPr="00000000" w14:paraId="000000D2">
      <w:pPr>
        <w:numPr>
          <w:ilvl w:val="0"/>
          <w:numId w:val="2"/>
        </w:numPr>
        <w:ind w:left="36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Investments</w:t>
      </w:r>
    </w:p>
    <w:p w:rsidR="00000000" w:rsidDel="00000000" w:rsidP="00000000" w:rsidRDefault="00000000" w:rsidRPr="00000000" w14:paraId="000000D3">
      <w:pPr>
        <w:numPr>
          <w:ilvl w:val="0"/>
          <w:numId w:val="2"/>
        </w:numPr>
        <w:ind w:left="36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Education funding</w:t>
      </w:r>
    </w:p>
    <w:p w:rsidR="00000000" w:rsidDel="00000000" w:rsidP="00000000" w:rsidRDefault="00000000" w:rsidRPr="00000000" w14:paraId="000000D4">
      <w:pPr>
        <w:numPr>
          <w:ilvl w:val="0"/>
          <w:numId w:val="2"/>
        </w:numPr>
        <w:ind w:left="36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Estate planning review</w:t>
      </w:r>
    </w:p>
    <w:p w:rsidR="00000000" w:rsidDel="00000000" w:rsidP="00000000" w:rsidRDefault="00000000" w:rsidRPr="00000000" w14:paraId="000000D5">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D7">
      <w:pPr>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Value Proposition: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Delivering financial freedom. </w:t>
      </w: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serves its clients with the utmost trust and confidence and creates a fiduciary relationship with them through financial prioritization.</w:t>
      </w:r>
    </w:p>
    <w:p w:rsidR="00000000" w:rsidDel="00000000" w:rsidP="00000000" w:rsidRDefault="00000000" w:rsidRPr="00000000" w14:paraId="000000D8">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Pricing Strategy:</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utilizes price bundling and competitive pricing. Customers prefer the price bundling scheme.</w:t>
      </w:r>
    </w:p>
    <w:p w:rsidR="00000000" w:rsidDel="00000000" w:rsidP="00000000" w:rsidRDefault="00000000" w:rsidRPr="00000000" w14:paraId="000000DA">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Marketing Plan:</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aims to establish its brand presence through the use of social media since it can easily be accessed by everyone. It also plans on attending training on financial advisory to increase its connections with other professionals in the field.</w:t>
      </w:r>
    </w:p>
    <w:p w:rsidR="00000000" w:rsidDel="00000000" w:rsidP="00000000" w:rsidRDefault="00000000" w:rsidRPr="00000000" w14:paraId="000000D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Research: </w:t>
      </w:r>
    </w:p>
    <w:p w:rsidR="00000000" w:rsidDel="00000000" w:rsidP="00000000" w:rsidRDefault="00000000" w:rsidRPr="00000000" w14:paraId="000000E0">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outlook for financial advisors is bright. Current estimates suggest that financial advisors will have a </w:t>
      </w:r>
      <w:r w:rsidDel="00000000" w:rsidR="00000000" w:rsidRPr="00000000">
        <w:rPr>
          <w:rFonts w:ascii="Calibri" w:cs="Calibri" w:eastAsia="Calibri" w:hAnsi="Calibri"/>
          <w:color w:val="111111"/>
          <w:highlight w:val="yellow"/>
          <w:rtl w:val="0"/>
        </w:rPr>
        <w:t xml:space="preserve">[30%]</w:t>
      </w:r>
      <w:r w:rsidDel="00000000" w:rsidR="00000000" w:rsidRPr="00000000">
        <w:rPr>
          <w:rFonts w:ascii="Calibri" w:cs="Calibri" w:eastAsia="Calibri" w:hAnsi="Calibri"/>
          <w:color w:val="111111"/>
          <w:rtl w:val="0"/>
        </w:rPr>
        <w:t xml:space="preserve"> job growth through </w:t>
      </w:r>
      <w:r w:rsidDel="00000000" w:rsidR="00000000" w:rsidRPr="00000000">
        <w:rPr>
          <w:rFonts w:ascii="Calibri" w:cs="Calibri" w:eastAsia="Calibri" w:hAnsi="Calibri"/>
          <w:color w:val="111111"/>
          <w:highlight w:val="yellow"/>
          <w:rtl w:val="0"/>
        </w:rPr>
        <w:t xml:space="preserve">[2024]</w:t>
      </w:r>
      <w:r w:rsidDel="00000000" w:rsidR="00000000" w:rsidRPr="00000000">
        <w:rPr>
          <w:rFonts w:ascii="Calibri" w:cs="Calibri" w:eastAsia="Calibri" w:hAnsi="Calibri"/>
          <w:color w:val="111111"/>
          <w:rtl w:val="0"/>
        </w:rPr>
        <w:t xml:space="preserve">. Experienced financial advisors can expect an income of </w:t>
      </w:r>
      <w:r w:rsidDel="00000000" w:rsidR="00000000" w:rsidRPr="00000000">
        <w:rPr>
          <w:rFonts w:ascii="Calibri" w:cs="Calibri" w:eastAsia="Calibri" w:hAnsi="Calibri"/>
          <w:color w:val="111111"/>
          <w:highlight w:val="yellow"/>
          <w:rtl w:val="0"/>
        </w:rPr>
        <w:t xml:space="preserve">[$100,000]</w:t>
      </w:r>
      <w:r w:rsidDel="00000000" w:rsidR="00000000" w:rsidRPr="00000000">
        <w:rPr>
          <w:rFonts w:ascii="Calibri" w:cs="Calibri" w:eastAsia="Calibri" w:hAnsi="Calibri"/>
          <w:color w:val="111111"/>
          <w:rtl w:val="0"/>
        </w:rPr>
        <w:t xml:space="preserve"> a year, with the top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making more than </w:t>
      </w:r>
      <w:r w:rsidDel="00000000" w:rsidR="00000000" w:rsidRPr="00000000">
        <w:rPr>
          <w:rFonts w:ascii="Calibri" w:cs="Calibri" w:eastAsia="Calibri" w:hAnsi="Calibri"/>
          <w:color w:val="111111"/>
          <w:highlight w:val="yellow"/>
          <w:rtl w:val="0"/>
        </w:rPr>
        <w:t xml:space="preserve">[$160,000]</w:t>
      </w:r>
      <w:r w:rsidDel="00000000" w:rsidR="00000000" w:rsidRPr="00000000">
        <w:rPr>
          <w:rFonts w:ascii="Calibri" w:cs="Calibri" w:eastAsia="Calibri" w:hAnsi="Calibri"/>
          <w:color w:val="111111"/>
          <w:rtl w:val="0"/>
        </w:rPr>
        <w:t xml:space="preserve"> per year.</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04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920"/>
        <w:gridCol w:w="1800"/>
        <w:gridCol w:w="1890"/>
        <w:gridCol w:w="1620"/>
        <w:tblGridChange w:id="0">
          <w:tblGrid>
            <w:gridCol w:w="1815"/>
            <w:gridCol w:w="1920"/>
            <w:gridCol w:w="1800"/>
            <w:gridCol w:w="1890"/>
            <w:gridCol w:w="16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vast experience and knowledge in financial planning</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no employees yet and has a small market share</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an opportunity for expansion</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Huge competition in the market</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Alpha Financial Advisors, LLC</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Known to have a strong client investment portfolio</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limited flexibility in pricing</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an opportunity to establish affiliate relations with other financial advisors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Stricter compliance requirement from the government</w:t>
            </w:r>
          </w:p>
        </w:tc>
      </w:tr>
      <w:t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Beta Financial Advisors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Worked directly with the clients and has scheduled weekly meetings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not yet established a website and market presence is poor</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large pool of people to recruit for its practice team</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the mandated continuing education for financial advisors</w:t>
            </w:r>
          </w:p>
        </w:tc>
      </w:tr>
    </w:tbl>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Strategy: </w:t>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plans to focus on giving specialized services. The firm does not have a social media presence and is planning on using such in order to market its services to a much wider audience. The owner will also be attending a series of training on financial advisory to increase its connections with other professionals in the field.</w:t>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has kicked-off various activities to move the marketing strategies forward. Here are some of the updates:</w:t>
      </w:r>
    </w:p>
    <w:p w:rsidR="00000000" w:rsidDel="00000000" w:rsidP="00000000" w:rsidRDefault="00000000" w:rsidRPr="00000000" w14:paraId="000000FC">
      <w:pPr>
        <w:ind w:left="720"/>
        <w:jc w:val="both"/>
        <w:rPr>
          <w:rFonts w:ascii="Calibri" w:cs="Calibri" w:eastAsia="Calibri" w:hAnsi="Calibri"/>
          <w:color w:val="111111"/>
        </w:rPr>
      </w:pPr>
      <w:r w:rsidDel="00000000" w:rsidR="00000000" w:rsidRPr="00000000">
        <w:rPr>
          <w:rtl w:val="0"/>
        </w:rPr>
      </w:r>
    </w:p>
    <w:tbl>
      <w:tblPr>
        <w:tblStyle w:val="Table5"/>
        <w:tblW w:w="903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2205"/>
        <w:gridCol w:w="1530"/>
        <w:gridCol w:w="3090"/>
        <w:tblGridChange w:id="0">
          <w:tblGrid>
            <w:gridCol w:w="2205"/>
            <w:gridCol w:w="2205"/>
            <w:gridCol w:w="1530"/>
            <w:gridCol w:w="30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Use of social media</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Already created a LinkedIn and Facebook account</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15, 2019</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accounts have 500 to 1000 followers by the end of 2020</w:t>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on financial advisory</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already registered for a 5-day training on February 23 to 28, 2019</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15, 2019</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 obtains a list of contact information of at least 20 financial advisors from different firms</w:t>
            </w:r>
          </w:p>
        </w:tc>
      </w:tr>
    </w:tbl>
    <w:p w:rsidR="00000000" w:rsidDel="00000000" w:rsidP="00000000" w:rsidRDefault="00000000" w:rsidRPr="00000000" w14:paraId="0000010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Organizational Structure</w:t>
      </w:r>
      <w:r w:rsidDel="00000000" w:rsidR="00000000" w:rsidRPr="00000000">
        <w:rPr>
          <w:rFonts w:ascii="Calibri" w:cs="Calibri" w:eastAsia="Calibri" w:hAnsi="Calibri"/>
          <w:b w:val="1"/>
          <w:color w:val="111111"/>
          <w:rtl w:val="0"/>
        </w:rPr>
        <w:t xml:space="preserve">:</w:t>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is solely owned and managed by Dean Furlong. Furlong aims to expand the firm and hire employees one or two years after the start of the operations.</w:t>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0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Location and Facilities</w:t>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office space of </w:t>
      </w:r>
      <w:r w:rsidDel="00000000" w:rsidR="00000000" w:rsidRPr="00000000">
        <w:rPr>
          <w:rFonts w:ascii="Calibri" w:cs="Calibri" w:eastAsia="Calibri" w:hAnsi="Calibri"/>
          <w:color w:val="111111"/>
          <w:highlight w:val="yellow"/>
          <w:rtl w:val="0"/>
        </w:rPr>
        <w:t xml:space="preserve">[Furlong Financial Advisor]</w:t>
      </w:r>
      <w:r w:rsidDel="00000000" w:rsidR="00000000" w:rsidRPr="00000000">
        <w:rPr>
          <w:rFonts w:ascii="Calibri" w:cs="Calibri" w:eastAsia="Calibri" w:hAnsi="Calibri"/>
          <w:color w:val="111111"/>
          <w:rtl w:val="0"/>
        </w:rPr>
        <w:t xml:space="preserve"> is located at</w:t>
      </w:r>
      <w:r w:rsidDel="00000000" w:rsidR="00000000" w:rsidRPr="00000000">
        <w:rPr>
          <w:rFonts w:ascii="Calibri" w:cs="Calibri" w:eastAsia="Calibri" w:hAnsi="Calibri"/>
          <w:color w:val="111111"/>
          <w:highlight w:val="yellow"/>
          <w:rtl w:val="0"/>
        </w:rPr>
        <w:t xml:space="preserve">[ 4576]</w:t>
      </w:r>
      <w:r w:rsidDel="00000000" w:rsidR="00000000" w:rsidRPr="00000000">
        <w:rPr>
          <w:rFonts w:ascii="Calibri" w:cs="Calibri" w:eastAsia="Calibri" w:hAnsi="Calibri"/>
          <w:color w:val="111111"/>
          <w:rtl w:val="0"/>
        </w:rPr>
        <w:t xml:space="preserve">  Farnum Road, New York City, New York.</w:t>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Tools and Equipment Checklist</w:t>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4650"/>
        <w:tblGridChange w:id="0">
          <w:tblGrid>
            <w:gridCol w:w="4350"/>
            <w:gridCol w:w="46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eMoney Advisor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Finance Logix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Personal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bl>
    <w:p w:rsidR="00000000" w:rsidDel="00000000" w:rsidP="00000000" w:rsidRDefault="00000000" w:rsidRPr="00000000" w14:paraId="000001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IT Infrastructure</w:t>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w:t>
      </w:r>
      <w:r w:rsidDel="00000000" w:rsidR="00000000" w:rsidRPr="00000000">
        <w:rPr>
          <w:rFonts w:ascii="Calibri" w:cs="Calibri" w:eastAsia="Calibri" w:hAnsi="Calibri"/>
          <w:color w:val="111111"/>
          <w:highlight w:val="yellow"/>
          <w:rtl w:val="0"/>
        </w:rPr>
        <w:t xml:space="preserve">[Furlong Financial Advisor’s]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23">
      <w:pPr>
        <w:ind w:left="720"/>
        <w:jc w:val="both"/>
        <w:rPr>
          <w:rFonts w:ascii="Calibri" w:cs="Calibri" w:eastAsia="Calibri" w:hAnsi="Calibri"/>
          <w:b w:val="1"/>
          <w:color w:val="111111"/>
        </w:rPr>
      </w:pPr>
      <w:r w:rsidDel="00000000" w:rsidR="00000000" w:rsidRPr="00000000">
        <w:rPr>
          <w:rtl w:val="0"/>
        </w:rPr>
      </w:r>
    </w:p>
    <w:tbl>
      <w:tblPr>
        <w:tblStyle w:val="Table7"/>
        <w:tblW w:w="903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625"/>
        <w:gridCol w:w="2175"/>
        <w:gridCol w:w="4230"/>
        <w:tblGridChange w:id="0">
          <w:tblGrid>
            <w:gridCol w:w="2625"/>
            <w:gridCol w:w="2175"/>
            <w:gridCol w:w="42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tabs>
                <w:tab w:val="left" w:pos="1178"/>
                <w:tab w:val="center" w:pos="2015"/>
              </w:tabs>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Facebook and Instagram accounts.</w:t>
            </w:r>
          </w:p>
        </w:tc>
      </w:tr>
    </w:tbl>
    <w:p w:rsidR="00000000" w:rsidDel="00000000" w:rsidP="00000000" w:rsidRDefault="00000000" w:rsidRPr="00000000" w14:paraId="0000012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2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2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Assumptions</w:t>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mainly on the current trends in the financial advisory industry. Its expenses will be on rent, insurance, supplies, and other operational expenses.</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Monthly Expense</w:t>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2">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Monthly Revenue</w:t>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sz w:val="24"/>
          <w:szCs w:val="24"/>
        </w:rPr>
      </w:pPr>
      <w:bookmarkStart w:colFirst="0" w:colLast="0" w:name="_gjdgxs" w:id="0"/>
      <w:bookmarkEnd w:id="0"/>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the personal investment of the owner worth </w:t>
      </w:r>
      <w:r w:rsidDel="00000000" w:rsidR="00000000" w:rsidRPr="00000000">
        <w:rPr>
          <w:rFonts w:ascii="Calibri" w:cs="Calibri" w:eastAsia="Calibri" w:hAnsi="Calibri"/>
          <w:color w:val="111111"/>
          <w:highlight w:val="yellow"/>
          <w:rtl w:val="0"/>
        </w:rPr>
        <w:t xml:space="preserve">[$25,000]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40">
      <w:pPr>
        <w:rPr>
          <w:rFonts w:ascii="Calibri" w:cs="Calibri" w:eastAsia="Calibri" w:hAnsi="Calibri"/>
          <w:b w:val="1"/>
          <w:color w:val="111111"/>
        </w:rPr>
      </w:pPr>
      <w:r w:rsidDel="00000000" w:rsidR="00000000" w:rsidRPr="00000000">
        <w:rPr>
          <w:rtl w:val="0"/>
        </w:rPr>
      </w:r>
    </w:p>
    <w:tbl>
      <w:tblPr>
        <w:tblStyle w:val="Table8"/>
        <w:tblW w:w="937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100"/>
        <w:gridCol w:w="1575"/>
        <w:gridCol w:w="1365"/>
        <w:gridCol w:w="1335"/>
        <w:tblGridChange w:id="0">
          <w:tblGrid>
            <w:gridCol w:w="5100"/>
            <w:gridCol w:w="1575"/>
            <w:gridCol w:w="1365"/>
            <w:gridCol w:w="1335"/>
          </w:tblGrid>
        </w:tblGridChange>
      </w:tblGrid>
      <w:tr>
        <w:trPr>
          <w:trHeight w:val="36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93.46%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91.67%</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$15,600.00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$121,900.00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$10,890.00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$12,190.00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$97,010.00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$108,710.00</w:t>
            </w:r>
            <w:r w:rsidDel="00000000" w:rsidR="00000000" w:rsidRPr="00000000">
              <w:rPr>
                <w:rtl w:val="0"/>
              </w:rPr>
            </w:r>
          </w:p>
        </w:tc>
      </w:tr>
    </w:tbl>
    <w:p w:rsidR="00000000" w:rsidDel="00000000" w:rsidP="00000000" w:rsidRDefault="00000000" w:rsidRPr="00000000" w14:paraId="00000199">
      <w:pPr>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100"/>
        <w:gridCol w:w="1575"/>
        <w:gridCol w:w="1365"/>
        <w:gridCol w:w="1320"/>
        <w:tblGridChange w:id="0">
          <w:tblGrid>
            <w:gridCol w:w="5100"/>
            <w:gridCol w:w="1575"/>
            <w:gridCol w:w="1365"/>
            <w:gridCol w:w="1320"/>
          </w:tblGrid>
        </w:tblGridChange>
      </w:tblGrid>
      <w:tr>
        <w:trPr>
          <w:trHeight w:val="36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$149,600.00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$167,900.00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$159,600.00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$181,150.00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$131,200.00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$163,600.00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$184,650.00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$1,040.00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$48,040.00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$24,110.00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$112,500.00</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$122,100.00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$136,610.00</w:t>
            </w:r>
            <w:r w:rsidDel="00000000" w:rsidR="00000000" w:rsidRPr="00000000">
              <w:rPr>
                <w:rtl w:val="0"/>
              </w:rPr>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33.99%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35.17%</w:t>
            </w:r>
            <w:r w:rsidDel="00000000" w:rsidR="00000000" w:rsidRPr="00000000">
              <w:rPr>
                <w:rtl w:val="0"/>
              </w:rPr>
            </w:r>
          </w:p>
        </w:tc>
      </w:tr>
    </w:tbl>
    <w:p w:rsidR="00000000" w:rsidDel="00000000" w:rsidP="00000000" w:rsidRDefault="00000000" w:rsidRPr="00000000" w14:paraId="000001F2">
      <w:pPr>
        <w:rPr>
          <w:rFonts w:ascii="Calibri" w:cs="Calibri" w:eastAsia="Calibri" w:hAnsi="Calibri"/>
          <w:b w:val="1"/>
          <w:color w:val="111111"/>
        </w:rPr>
      </w:pPr>
      <w:r w:rsidDel="00000000" w:rsidR="00000000" w:rsidRPr="00000000">
        <w:rPr>
          <w:rtl w:val="0"/>
        </w:rPr>
      </w:r>
    </w:p>
    <w:tbl>
      <w:tblPr>
        <w:tblStyle w:val="Table10"/>
        <w:tblW w:w="937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100"/>
        <w:gridCol w:w="1560"/>
        <w:gridCol w:w="1350"/>
        <w:gridCol w:w="1365"/>
        <w:tblGridChange w:id="0">
          <w:tblGrid>
            <w:gridCol w:w="5100"/>
            <w:gridCol w:w="1560"/>
            <w:gridCol w:w="1350"/>
            <w:gridCol w:w="1365"/>
          </w:tblGrid>
        </w:tblGridChange>
      </w:tblGrid>
      <w:tr>
        <w:trPr>
          <w:trHeight w:val="36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$162,200.00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$183,500.00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$15,600.00</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$149,600.00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$167,900.00</w:t>
            </w:r>
            <w:r w:rsidDel="00000000" w:rsidR="00000000" w:rsidRPr="00000000">
              <w:rPr>
                <w:rtl w:val="0"/>
              </w:rPr>
            </w:r>
          </w:p>
        </w:tc>
      </w:tr>
    </w:tbl>
    <w:p w:rsidR="00000000" w:rsidDel="00000000" w:rsidP="00000000" w:rsidRDefault="00000000" w:rsidRPr="00000000" w14:paraId="0000023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3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3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42">
      <w:pPr>
        <w:rPr>
          <w:sz w:val="24"/>
          <w:szCs w:val="24"/>
        </w:rPr>
      </w:pPr>
      <w:r w:rsidDel="00000000" w:rsidR="00000000" w:rsidRPr="00000000">
        <w:rPr>
          <w:rtl w:val="0"/>
        </w:rPr>
      </w:r>
    </w:p>
    <w:p w:rsidR="00000000" w:rsidDel="00000000" w:rsidP="00000000" w:rsidRDefault="00000000" w:rsidRPr="00000000" w14:paraId="00000243">
      <w:pPr>
        <w:rPr>
          <w:sz w:val="24"/>
          <w:szCs w:val="24"/>
        </w:rPr>
      </w:pPr>
      <w:r w:rsidDel="00000000" w:rsidR="00000000" w:rsidRPr="00000000">
        <w:rPr>
          <w:rtl w:val="0"/>
        </w:rPr>
      </w:r>
    </w:p>
    <w:p w:rsidR="00000000" w:rsidDel="00000000" w:rsidP="00000000" w:rsidRDefault="00000000" w:rsidRPr="00000000" w14:paraId="00000244">
      <w:pPr>
        <w:rPr>
          <w:sz w:val="24"/>
          <w:szCs w:val="24"/>
        </w:rPr>
      </w:pPr>
      <w:r w:rsidDel="00000000" w:rsidR="00000000" w:rsidRPr="00000000">
        <w:rPr>
          <w:rtl w:val="0"/>
        </w:rPr>
      </w:r>
    </w:p>
    <w:p w:rsidR="00000000" w:rsidDel="00000000" w:rsidP="00000000" w:rsidRDefault="00000000" w:rsidRPr="00000000" w14:paraId="00000245">
      <w:pPr>
        <w:rPr>
          <w:sz w:val="24"/>
          <w:szCs w:val="24"/>
        </w:rPr>
      </w:pPr>
      <w:r w:rsidDel="00000000" w:rsidR="00000000" w:rsidRPr="00000000">
        <w:rPr>
          <w:rtl w:val="0"/>
        </w:rPr>
      </w:r>
    </w:p>
    <w:p w:rsidR="00000000" w:rsidDel="00000000" w:rsidP="00000000" w:rsidRDefault="00000000" w:rsidRPr="00000000" w14:paraId="00000246">
      <w:pPr>
        <w:rPr>
          <w:sz w:val="24"/>
          <w:szCs w:val="24"/>
        </w:rPr>
      </w:pPr>
      <w:r w:rsidDel="00000000" w:rsidR="00000000" w:rsidRPr="00000000">
        <w:rPr>
          <w:rtl w:val="0"/>
        </w:rPr>
      </w:r>
    </w:p>
    <w:p w:rsidR="00000000" w:rsidDel="00000000" w:rsidP="00000000" w:rsidRDefault="00000000" w:rsidRPr="00000000" w14:paraId="00000247">
      <w:pPr>
        <w:rPr>
          <w:rFonts w:ascii="Calibri" w:cs="Calibri" w:eastAsia="Calibri" w:hAnsi="Calibri"/>
          <w:color w:val="111111"/>
        </w:rPr>
      </w:pPr>
      <w:r w:rsidDel="00000000" w:rsidR="00000000" w:rsidRPr="00000000">
        <w:rPr>
          <w:rtl w:val="0"/>
        </w:rPr>
      </w:r>
    </w:p>
    <w:sectPr>
      <w:footerReference r:id="rId10" w:type="default"/>
      <w:pgSz w:h="16839" w:w="11907"/>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