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CAMPING OR </w:t>
      </w:r>
    </w:p>
    <w:p w:rsidR="00000000" w:rsidDel="00000000" w:rsidP="00000000" w:rsidRDefault="00000000" w:rsidRPr="00000000" w14:paraId="00000013">
      <w:pPr>
        <w:spacing w:line="240" w:lineRule="auto"/>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CAMP GROUND </w:t>
      </w:r>
    </w:p>
    <w:p w:rsidR="00000000" w:rsidDel="00000000" w:rsidP="00000000" w:rsidRDefault="00000000" w:rsidRPr="00000000" w14:paraId="00000014">
      <w:pPr>
        <w:spacing w:line="240" w:lineRule="auto"/>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MARKETING PLAN </w:t>
      </w:r>
    </w:p>
    <w:p w:rsidR="00000000" w:rsidDel="00000000" w:rsidP="00000000" w:rsidRDefault="00000000" w:rsidRPr="00000000" w14:paraId="00000015">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3411943" cy="2763358"/>
                <wp:effectExtent b="0" l="0" r="0" t="0"/>
                <wp:wrapNone/>
                <wp:docPr id="4" name=""/>
                <a:graphic>
                  <a:graphicData uri="http://schemas.microsoft.com/office/word/2010/wordprocessingShape">
                    <wps:wsp>
                      <wps:cNvSpPr/>
                      <wps:cNvPr id="22" name="Shape 22"/>
                      <wps:spPr>
                        <a:xfrm>
                          <a:off x="3644791" y="2403084"/>
                          <a:ext cx="3402418" cy="2753833"/>
                        </a:xfrm>
                        <a:prstGeom prst="rect">
                          <a:avLst/>
                        </a:prstGeom>
                        <a:solidFill>
                          <a:srgbClr val="FF96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3411943" cy="2763358"/>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411943" cy="2763358"/>
                        </a:xfrm>
                        <a:prstGeom prst="rect"/>
                        <a:ln/>
                      </pic:spPr>
                    </pic:pic>
                  </a:graphicData>
                </a:graphic>
              </wp:anchor>
            </w:drawing>
          </mc:Fallback>
        </mc:AlternateContent>
      </w:r>
    </w:p>
    <w:p w:rsidR="00000000" w:rsidDel="00000000" w:rsidP="00000000" w:rsidRDefault="00000000" w:rsidRPr="00000000" w14:paraId="00000017">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127000</wp:posOffset>
                </wp:positionV>
                <wp:extent cx="1573618" cy="28575"/>
                <wp:effectExtent b="0" l="0" r="0" t="0"/>
                <wp:wrapNone/>
                <wp:docPr id="2" name=""/>
                <a:graphic>
                  <a:graphicData uri="http://schemas.microsoft.com/office/word/2010/wordprocessingShape">
                    <wps:wsp>
                      <wps:cNvCnPr/>
                      <wps:spPr>
                        <a:xfrm>
                          <a:off x="4559191" y="3780000"/>
                          <a:ext cx="1573618" cy="0"/>
                        </a:xfrm>
                        <a:prstGeom prst="straightConnector1">
                          <a:avLst/>
                        </a:prstGeom>
                        <a:noFill/>
                        <a:ln cap="flat" cmpd="sng" w="28575">
                          <a:solidFill>
                            <a:srgbClr val="11111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127000</wp:posOffset>
                </wp:positionV>
                <wp:extent cx="1573618" cy="285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73618" cy="28575"/>
                        </a:xfrm>
                        <a:prstGeom prst="rect"/>
                        <a:ln/>
                      </pic:spPr>
                    </pic:pic>
                  </a:graphicData>
                </a:graphic>
              </wp:anchor>
            </w:drawing>
          </mc:Fallback>
        </mc:AlternateContent>
      </w:r>
    </w:p>
    <w:p w:rsidR="00000000" w:rsidDel="00000000" w:rsidP="00000000" w:rsidRDefault="00000000" w:rsidRPr="00000000" w14:paraId="00000021">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5850" w:firstLine="0"/>
        <w:rPr>
          <w:rFonts w:ascii="Calibri" w:cs="Calibri" w:eastAsia="Calibri" w:hAnsi="Calibri"/>
          <w:b w:val="1"/>
          <w:color w:val="111111"/>
          <w:sz w:val="30"/>
          <w:szCs w:val="30"/>
        </w:rPr>
      </w:pPr>
      <w:r w:rsidDel="00000000" w:rsidR="00000000" w:rsidRPr="00000000">
        <w:rPr>
          <w:rFonts w:ascii="Calibri" w:cs="Calibri" w:eastAsia="Calibri" w:hAnsi="Calibri"/>
          <w:b w:val="1"/>
          <w:color w:val="111111"/>
          <w:sz w:val="30"/>
          <w:szCs w:val="30"/>
          <w:rtl w:val="0"/>
        </w:rPr>
        <w:t xml:space="preserve">[Thornton Campground]</w:t>
      </w:r>
    </w:p>
    <w:p w:rsidR="00000000" w:rsidDel="00000000" w:rsidP="00000000" w:rsidRDefault="00000000" w:rsidRPr="00000000" w14:paraId="00000023">
      <w:pPr>
        <w:ind w:left="5850" w:firstLine="0"/>
        <w:rPr>
          <w:rFonts w:ascii="Calibri" w:cs="Calibri" w:eastAsia="Calibri" w:hAnsi="Calibri"/>
          <w:b w:val="1"/>
          <w:color w:val="111111"/>
          <w:sz w:val="30"/>
          <w:szCs w:val="30"/>
        </w:rPr>
      </w:pPr>
      <w:r w:rsidDel="00000000" w:rsidR="00000000" w:rsidRPr="00000000">
        <w:rPr>
          <w:rFonts w:ascii="Calibri" w:cs="Calibri" w:eastAsia="Calibri" w:hAnsi="Calibri"/>
          <w:b w:val="1"/>
          <w:color w:val="111111"/>
          <w:sz w:val="30"/>
          <w:szCs w:val="30"/>
          <w:rtl w:val="0"/>
        </w:rPr>
        <w:t xml:space="preserve">[2019 – 2020]</w:t>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9">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B">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E">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F">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0">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31">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2">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tc>
        <w:tc>
          <w:tcPr>
            <w:vAlign w:val="center"/>
          </w:tcPr>
          <w:p w:rsidR="00000000" w:rsidDel="00000000" w:rsidP="00000000" w:rsidRDefault="00000000" w:rsidRPr="00000000" w14:paraId="00000033">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vAlign w:val="center"/>
          </w:tcPr>
          <w:p w:rsidR="00000000" w:rsidDel="00000000" w:rsidP="00000000" w:rsidRDefault="00000000" w:rsidRPr="00000000" w14:paraId="0000003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is a fun and inviting place for family and friends to camp in </w:t>
      </w:r>
      <w:r w:rsidDel="00000000" w:rsidR="00000000" w:rsidRPr="00000000">
        <w:rPr>
          <w:rFonts w:ascii="Calibri" w:cs="Calibri" w:eastAsia="Calibri" w:hAnsi="Calibri"/>
          <w:color w:val="111111"/>
          <w:highlight w:val="yellow"/>
          <w:rtl w:val="0"/>
        </w:rPr>
        <w:t xml:space="preserve">[Thornton, New Hampshire]</w:t>
      </w:r>
      <w:r w:rsidDel="00000000" w:rsidR="00000000" w:rsidRPr="00000000">
        <w:rPr>
          <w:rFonts w:ascii="Calibri" w:cs="Calibri" w:eastAsia="Calibri" w:hAnsi="Calibri"/>
          <w:color w:val="111111"/>
          <w:rtl w:val="0"/>
        </w:rPr>
        <w:t xml:space="preserve">. It is a small scale tent-only campground that is designed to create a serene atmosphere. To advertise the camping site, the company will make use of the local and international tourism publications. The company will also create a website that will be listed in online directories.</w:t>
      </w:r>
    </w:p>
    <w:p w:rsidR="00000000" w:rsidDel="00000000" w:rsidP="00000000" w:rsidRDefault="00000000" w:rsidRPr="00000000" w14:paraId="0000005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mission is to provide a once in a lifetime camping experience to the local and international tourists in Thornton. </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believes that warm hospitality will always keep the customers coming back for another experience.</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seeks to influence people into appreciating the beauty of nature.</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Travel-related sectors have experienced a slow increase in sales after the economy has recovered from the downturn. Consumers have begun spending their disposable income on nonessential goods and recreational activities. The company will expect a positive performance from the industry in the coming years. That is why it is setting its eyes on expanding the camping ground in five years. It plans to add more recreational areas such as fire rings, picnic tables, game rooms, and a small cabin.</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Recreational/Camping Industry</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[Brad B. Poole]</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worth $</w:t>
      </w:r>
      <w:r w:rsidDel="00000000" w:rsidR="00000000" w:rsidRPr="00000000">
        <w:rPr>
          <w:rFonts w:ascii="Calibri" w:cs="Calibri" w:eastAsia="Calibri" w:hAnsi="Calibri"/>
          <w:color w:val="111111"/>
          <w:highlight w:val="yellow"/>
          <w:rtl w:val="0"/>
        </w:rPr>
        <w:t xml:space="preserve">[65,000]</w:t>
      </w:r>
      <w:r w:rsidDel="00000000" w:rsidR="00000000" w:rsidRPr="00000000">
        <w:rPr>
          <w:rFonts w:ascii="Calibri" w:cs="Calibri" w:eastAsia="Calibri" w:hAnsi="Calibri"/>
          <w:color w:val="111111"/>
          <w:rtl w:val="0"/>
        </w:rPr>
        <w:t xml:space="preserve"> is to be provided by the owner and will be used for supplies, maintenance, payroll, and marketing materials.</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925"/>
        <w:gridCol w:w="2430"/>
        <w:tblGridChange w:id="0">
          <w:tblGrid>
            <w:gridCol w:w="6925"/>
            <w:gridCol w:w="243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w:t>
            </w: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2">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provides campers a peaceful campsite that is a little bit deep into the forest and is close to a river. It also provides them picnic tables, fire rings, and a small RV parking lot.</w:t>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offers a serene atmosphere that will make the tourists feel at ease while still sending hints of a thrilling adventure.</w:t>
      </w:r>
    </w:p>
    <w:p w:rsidR="00000000" w:rsidDel="00000000" w:rsidP="00000000" w:rsidRDefault="00000000" w:rsidRPr="00000000" w14:paraId="000000C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uses penetration pricing and competitive pricing strategies to attract customers.</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Over the last five years, the campground industry has experienced steady growth. Factors such as rising disposable income and trends in the travel industry have contributed to the rise in domestic travels. Today, the industry earns $</w:t>
      </w:r>
      <w:r w:rsidDel="00000000" w:rsidR="00000000" w:rsidRPr="00000000">
        <w:rPr>
          <w:rFonts w:ascii="Calibri" w:cs="Calibri" w:eastAsia="Calibri" w:hAnsi="Calibri"/>
          <w:color w:val="111111"/>
          <w:highlight w:val="yellow"/>
          <w:rtl w:val="0"/>
        </w:rPr>
        <w:t xml:space="preserve">[7 billion]</w:t>
      </w:r>
      <w:r w:rsidDel="00000000" w:rsidR="00000000" w:rsidRPr="00000000">
        <w:rPr>
          <w:rFonts w:ascii="Calibri" w:cs="Calibri" w:eastAsia="Calibri" w:hAnsi="Calibri"/>
          <w:color w:val="111111"/>
          <w:rtl w:val="0"/>
        </w:rPr>
        <w:t xml:space="preserve"> annually and is growing at CAGR of </w:t>
      </w:r>
      <w:r w:rsidDel="00000000" w:rsidR="00000000" w:rsidRPr="00000000">
        <w:rPr>
          <w:rFonts w:ascii="Calibri" w:cs="Calibri" w:eastAsia="Calibri" w:hAnsi="Calibri"/>
          <w:color w:val="111111"/>
          <w:highlight w:val="yellow"/>
          <w:rtl w:val="0"/>
        </w:rPr>
        <w:t xml:space="preserve">[1]</w:t>
      </w:r>
      <w:r w:rsidDel="00000000" w:rsidR="00000000" w:rsidRPr="00000000">
        <w:rPr>
          <w:rFonts w:ascii="Calibri" w:cs="Calibri" w:eastAsia="Calibri" w:hAnsi="Calibri"/>
          <w:color w:val="111111"/>
          <w:rtl w:val="0"/>
        </w:rPr>
        <w:t xml:space="preserve">%. Any company can become successful in this particular industry as there are no companies that hold a huge portion of the market.</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divides its target market into two segments: the frequent campers and the non-frequent campers. The company will focus its strategies on frequent campers as they are the ones that hold a huge portion of the market. Different strategies will be used on each of the segments to determine their likes, dislikes, and needs, and then work from there.</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Frequent campers</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advertise on local, national, and international tourism publications as these are the type of publications that camping enthusiasts will most likely read. Advertising materials paired with attractive high-definition photos of the camp will be crafted to entice the readers.</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ads will be launched on social media sites targeting people who are most likely to go on camping.</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Non-frequent campers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approach will be the same for the non-frequent campers. But, the message will most likely focus on their needs for safety, reassurance, and on how far their money can go considering that most of them are beginner campers.</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[Thornton Campground]</w:t>
      </w:r>
      <w:r w:rsidDel="00000000" w:rsidR="00000000" w:rsidRPr="00000000">
        <w:rPr>
          <w:rFonts w:ascii="Calibri" w:cs="Calibri" w:eastAsia="Calibri" w:hAnsi="Calibri"/>
          <w:color w:val="111111"/>
          <w:rtl w:val="0"/>
        </w:rPr>
        <w:t xml:space="preserve"> aims to have a profit margin of </w:t>
      </w:r>
      <w:r w:rsidDel="00000000" w:rsidR="00000000" w:rsidRPr="00000000">
        <w:rPr>
          <w:rFonts w:ascii="Calibri" w:cs="Calibri" w:eastAsia="Calibri" w:hAnsi="Calibri"/>
          <w:color w:val="111111"/>
          <w:highlight w:val="yellow"/>
          <w:rtl w:val="0"/>
        </w:rPr>
        <w:t xml:space="preserve">[4]</w:t>
      </w:r>
      <w:r w:rsidDel="00000000" w:rsidR="00000000" w:rsidRPr="00000000">
        <w:rPr>
          <w:rFonts w:ascii="Calibri" w:cs="Calibri" w:eastAsia="Calibri" w:hAnsi="Calibri"/>
          <w:color w:val="111111"/>
          <w:rtl w:val="0"/>
        </w:rPr>
        <w:t xml:space="preserve">% and above for the first year of operation. This will be done through improving the campground’s visibility online and offline and continued efforts for effective marketing.</w:t>
      </w: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penetration pricing strategy will enable it to gain a competitive advantage at the early stages. Its amenities and services will make sure to keep the customers coming all year round.</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tbl>
      <w:tblPr>
        <w:tblStyle w:val="Table3"/>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800"/>
        <w:gridCol w:w="1890"/>
        <w:gridCol w:w="1890"/>
        <w:gridCol w:w="2255"/>
        <w:tblGridChange w:id="0">
          <w:tblGrid>
            <w:gridCol w:w="1620"/>
            <w:gridCol w:w="1800"/>
            <w:gridCol w:w="1890"/>
            <w:gridCol w:w="1890"/>
            <w:gridCol w:w="22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4">
            <w:pPr>
              <w:rPr>
                <w:rFonts w:ascii="Calibri" w:cs="Calibri" w:eastAsia="Calibri" w:hAnsi="Calibri"/>
                <w:color w:val="111111"/>
              </w:rPr>
            </w:pPr>
            <w:r w:rsidDel="00000000" w:rsidR="00000000" w:rsidRPr="00000000">
              <w:rPr>
                <w:rFonts w:ascii="Calibri" w:cs="Calibri" w:eastAsia="Calibri" w:hAnsi="Calibri"/>
                <w:color w:val="111111"/>
                <w:rtl w:val="0"/>
              </w:rPr>
              <w:t xml:space="preserve">[Thornton Campground]</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Attractive amenities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Operates in a small estate</w:t>
            </w:r>
          </w:p>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Trends in the tourism industry that may increase the profitability of the business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 with a larger campground, better amenities, and competitive prices</w:t>
            </w:r>
          </w:p>
        </w:tc>
      </w:tr>
      <w:t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[Rivercamp NH]</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Strong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staff management</w:t>
            </w:r>
          </w:p>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interest in camping in the state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Another economic downturn that reduces the spending power of consumers</w:t>
            </w:r>
          </w:p>
        </w:tc>
      </w:tr>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[McKinnon Campsite]</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large campsite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Unskilled staff</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 attract more campers due to the size of its camping site</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may opt for another site for better services</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STRATEGY AND FORECAST</w:t>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Following successful marketing campaigns, the company aims for the following monthly sales:</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64555" cy="2424223"/>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64555" cy="2424223"/>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uses tourism publications as its advertising material. It will create copies that entice and encourage frequent campers to go to the company’s campground. The same approach will be taken to attract non-frequent campers except it is targeted on their specific needs as beginner campers.</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use social media ads for efficient marketing and online directories to increase its visibility.</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team has started several activities to drive the marketing strategies forward. Here are some of the updates:</w:t>
      </w: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75"/>
        <w:gridCol w:w="2205"/>
        <w:gridCol w:w="1530"/>
        <w:gridCol w:w="3255"/>
        <w:tblGridChange w:id="0">
          <w:tblGrid>
            <w:gridCol w:w="2375"/>
            <w:gridCol w:w="2205"/>
            <w:gridCol w:w="1530"/>
            <w:gridCol w:w="32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Tourism publication</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contacted several known publications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7, 2019</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ads are featured on local, national, and international tourism publications.</w:t>
            </w:r>
          </w:p>
        </w:tc>
      </w:tr>
      <w:t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directories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Have listed the campground to five known online directories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May 1, 2019</w:t>
            </w:r>
          </w:p>
        </w:tc>
        <w:tc>
          <w:tcPr>
            <w:shd w:fill="auto" w:val="clear"/>
            <w:tcMar>
              <w:top w:w="100.0" w:type="dxa"/>
              <w:left w:w="100.0" w:type="dxa"/>
              <w:bottom w:w="100.0" w:type="dxa"/>
              <w:right w:w="100.0" w:type="dxa"/>
            </w:tcMar>
          </w:tcPr>
          <w:p w:rsidR="00000000" w:rsidDel="00000000" w:rsidP="00000000" w:rsidRDefault="00000000" w:rsidRPr="00000000" w14:paraId="00000123">
            <w:pPr>
              <w:rPr>
                <w:rFonts w:ascii="Calibri" w:cs="Calibri" w:eastAsia="Calibri" w:hAnsi="Calibri"/>
                <w:color w:val="111111"/>
              </w:rPr>
            </w:pPr>
            <w:r w:rsidDel="00000000" w:rsidR="00000000" w:rsidRPr="00000000">
              <w:rPr>
                <w:rFonts w:ascii="Calibri" w:cs="Calibri" w:eastAsia="Calibri" w:hAnsi="Calibri"/>
                <w:color w:val="111111"/>
                <w:rtl w:val="0"/>
              </w:rPr>
              <w:t xml:space="preserve">Thornton Campground is visible in some of the online directories.</w:t>
            </w:r>
          </w:p>
        </w:tc>
      </w:tr>
    </w:tbl>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686425" cy="3028950"/>
                <wp:effectExtent b="0" l="0" r="0" t="0"/>
                <wp:docPr id="3" name=""/>
                <a:graphic>
                  <a:graphicData uri="http://schemas.microsoft.com/office/word/2010/wordprocessingGroup">
                    <wpg:wgp>
                      <wpg:cNvGrpSpPr/>
                      <wpg:grpSpPr>
                        <a:xfrm>
                          <a:off x="2502788" y="2265525"/>
                          <a:ext cx="5686425" cy="3028950"/>
                          <a:chOff x="2502788" y="2265525"/>
                          <a:chExt cx="5686425" cy="3028950"/>
                        </a:xfrm>
                      </wpg:grpSpPr>
                      <wpg:grpSp>
                        <wpg:cNvGrpSpPr/>
                        <wpg:grpSpPr>
                          <a:xfrm>
                            <a:off x="2502788" y="2265525"/>
                            <a:ext cx="5686425" cy="3028950"/>
                            <a:chOff x="1865175" y="704850"/>
                            <a:chExt cx="3092400" cy="3162300"/>
                          </a:xfrm>
                        </wpg:grpSpPr>
                        <wps:wsp>
                          <wps:cNvSpPr/>
                          <wps:cNvPr id="5" name="Shape 5"/>
                          <wps:spPr>
                            <a:xfrm>
                              <a:off x="1865175" y="704850"/>
                              <a:ext cx="3092400" cy="316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68200" y="704850"/>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3429000" y="1123950"/>
                              <a:ext cx="0" cy="2393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968200" y="1363250"/>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Manager</w:t>
                                </w:r>
                              </w:p>
                            </w:txbxContent>
                          </wps:txbx>
                          <wps:bodyPr anchorCtr="0" anchor="ctr" bIns="91425" lIns="91425" spcFirstLastPara="1" rIns="91425" wrap="square" tIns="91425">
                            <a:noAutofit/>
                          </wps:bodyPr>
                        </wps:wsp>
                        <wps:wsp>
                          <wps:cNvSpPr/>
                          <wps:cNvPr id="9" name="Shape 9"/>
                          <wps:spPr>
                            <a:xfrm>
                              <a:off x="4030125" y="105735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91425" lIns="91425" spcFirstLastPara="1" rIns="91425" wrap="square" tIns="91425">
                            <a:noAutofit/>
                          </wps:bodyPr>
                        </wps:wsp>
                        <wps:wsp>
                          <wps:cNvCnPr/>
                          <wps:spPr>
                            <a:xfrm flipH="1">
                              <a:off x="2325900" y="1782350"/>
                              <a:ext cx="1103100" cy="2505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865175" y="2032838"/>
                              <a:ext cx="921600" cy="5070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and Marketing Director</w:t>
                                </w:r>
                              </w:p>
                            </w:txbxContent>
                          </wps:txbx>
                          <wps:bodyPr anchorCtr="0" anchor="ctr" bIns="91425" lIns="91425" spcFirstLastPara="1" rIns="91425" wrap="square" tIns="91425">
                            <a:noAutofit/>
                          </wps:bodyPr>
                        </wps:wsp>
                        <wps:wsp>
                          <wps:cNvSpPr/>
                          <wps:cNvPr id="12" name="Shape 12"/>
                          <wps:spPr>
                            <a:xfrm>
                              <a:off x="4030125" y="2076788"/>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Camp Supervisor</w:t>
                                </w:r>
                              </w:p>
                            </w:txbxContent>
                          </wps:txbx>
                          <wps:bodyPr anchorCtr="0" anchor="ctr" bIns="91425" lIns="91425" spcFirstLastPara="1" rIns="91425" wrap="square" tIns="91425">
                            <a:noAutofit/>
                          </wps:bodyPr>
                        </wps:wsp>
                        <wps:wsp>
                          <wps:cNvSpPr/>
                          <wps:cNvPr id="13" name="Shape 13"/>
                          <wps:spPr>
                            <a:xfrm>
                              <a:off x="1889025" y="2673475"/>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Brand Officer</w:t>
                                </w:r>
                              </w:p>
                            </w:txbxContent>
                          </wps:txbx>
                          <wps:bodyPr anchorCtr="0" anchor="ctr" bIns="91425" lIns="91425" spcFirstLastPara="1" rIns="91425" wrap="square" tIns="91425">
                            <a:noAutofit/>
                          </wps:bodyPr>
                        </wps:wsp>
                        <wps:wsp>
                          <wps:cNvSpPr/>
                          <wps:cNvPr id="14" name="Shape 14"/>
                          <wps:spPr>
                            <a:xfrm>
                              <a:off x="4083675" y="2651488"/>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Training Coordinator</w:t>
                                </w:r>
                              </w:p>
                            </w:txbxContent>
                          </wps:txbx>
                          <wps:bodyPr anchorCtr="0" anchor="ctr" bIns="91425" lIns="91425" spcFirstLastPara="1" rIns="91425" wrap="square" tIns="91425">
                            <a:noAutofit/>
                          </wps:bodyPr>
                        </wps:wsp>
                        <wps:wsp>
                          <wps:cNvCnPr/>
                          <wps:spPr>
                            <a:xfrm>
                              <a:off x="3428988" y="1266900"/>
                              <a:ext cx="60000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3867150"/>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889025" y="3226200"/>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Officer</w:t>
                                </w:r>
                              </w:p>
                            </w:txbxContent>
                          </wps:txbx>
                          <wps:bodyPr anchorCtr="0" anchor="ctr" bIns="91425" lIns="91425" spcFirstLastPara="1" rIns="91425" wrap="square" tIns="91425">
                            <a:noAutofit/>
                          </wps:bodyPr>
                        </wps:wsp>
                        <wps:wsp>
                          <wps:cNvSpPr/>
                          <wps:cNvPr id="20" name="Shape 20"/>
                          <wps:spPr>
                            <a:xfrm>
                              <a:off x="4083675" y="3226200"/>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Staff</w:t>
                                </w:r>
                              </w:p>
                            </w:txbxContent>
                          </wps:txbx>
                          <wps:bodyPr anchorCtr="0" anchor="ctr" bIns="91425" lIns="91425" spcFirstLastPara="1" rIns="91425" wrap="square" tIns="91425">
                            <a:noAutofit/>
                          </wps:bodyPr>
                        </wps:wsp>
                        <wps:wsp>
                          <wps:cNvCnPr/>
                          <wps:spPr>
                            <a:xfrm>
                              <a:off x="3429000" y="1782350"/>
                              <a:ext cx="1062000" cy="2943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686425" cy="3028950"/>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86425" cy="3028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65"/>
        <w:gridCol w:w="1620"/>
        <w:gridCol w:w="1815"/>
        <w:gridCol w:w="1930"/>
        <w:gridCol w:w="1925"/>
        <w:tblGridChange w:id="0">
          <w:tblGrid>
            <w:gridCol w:w="2065"/>
            <w:gridCol w:w="1620"/>
            <w:gridCol w:w="1815"/>
            <w:gridCol w:w="1930"/>
            <w:gridCol w:w="1925"/>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3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3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3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w:t>
            </w:r>
            <w:r w:rsidDel="00000000" w:rsidR="00000000" w:rsidRPr="00000000">
              <w:rPr>
                <w:rtl w:val="0"/>
              </w:rPr>
            </w:r>
          </w:p>
        </w:tc>
      </w:tr>
    </w:tbl>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485"/>
        <w:gridCol w:w="1980"/>
        <w:gridCol w:w="1890"/>
        <w:tblGridChange w:id="0">
          <w:tblGrid>
            <w:gridCol w:w="5485"/>
            <w:gridCol w:w="1980"/>
            <w:gridCol w:w="189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bottom"/>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(Total Units Sold/Cost per Unit)</w:t>
            </w:r>
            <w:r w:rsidDel="00000000" w:rsidR="00000000" w:rsidRPr="00000000">
              <w:rPr>
                <w:rtl w:val="0"/>
              </w:rPr>
            </w:r>
          </w:p>
        </w:tc>
        <w:tc>
          <w:tcPr>
            <w:shd w:fill="auto" w:val="clear"/>
            <w:vAlign w:val="bottom"/>
          </w:tcPr>
          <w:p w:rsidR="00000000" w:rsidDel="00000000" w:rsidP="00000000" w:rsidRDefault="00000000" w:rsidRPr="00000000" w14:paraId="0000018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bottom"/>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w:t>
            </w:r>
          </w:p>
        </w:tc>
        <w:tc>
          <w:tcPr>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bottom"/>
          </w:tcPr>
          <w:p w:rsidR="00000000" w:rsidDel="00000000" w:rsidP="00000000" w:rsidRDefault="00000000" w:rsidRPr="00000000" w14:paraId="0000018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w:t>
            </w:r>
          </w:p>
        </w:tc>
        <w:tc>
          <w:tcPr>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w:t>
            </w:r>
          </w:p>
        </w:tc>
        <w:tc>
          <w:tcPr>
            <w:shd w:fill="auto" w:val="clear"/>
            <w:tcMar>
              <w:top w:w="40.0" w:type="dxa"/>
              <w:left w:w="40.0" w:type="dxa"/>
              <w:bottom w:w="40.0" w:type="dxa"/>
              <w:right w:w="40.0" w:type="dxa"/>
            </w:tcMar>
            <w:vAlign w:val="bottom"/>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bl>
    <w:p w:rsidR="00000000" w:rsidDel="00000000" w:rsidP="00000000" w:rsidRDefault="00000000" w:rsidRPr="00000000" w14:paraId="000001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530"/>
        <w:gridCol w:w="1533"/>
        <w:gridCol w:w="1620"/>
        <w:tblGridChange w:id="0">
          <w:tblGrid>
            <w:gridCol w:w="4672"/>
            <w:gridCol w:w="1530"/>
            <w:gridCol w:w="153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41.71%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41.32%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45.24%</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$42,500.00</w:t>
            </w:r>
            <w:r w:rsidDel="00000000" w:rsidR="00000000" w:rsidRPr="00000000">
              <w:rPr>
                <w:rtl w:val="0"/>
              </w:rPr>
            </w:r>
          </w:p>
        </w:tc>
      </w:tr>
    </w:tbl>
    <w:p w:rsidR="00000000" w:rsidDel="00000000" w:rsidP="00000000" w:rsidRDefault="00000000" w:rsidRPr="00000000" w14:paraId="00000206">
      <w:pPr>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5"/>
        <w:gridCol w:w="1530"/>
        <w:gridCol w:w="1530"/>
        <w:gridCol w:w="1620"/>
        <w:tblGridChange w:id="0">
          <w:tblGrid>
            <w:gridCol w:w="4675"/>
            <w:gridCol w:w="1530"/>
            <w:gridCol w:w="1530"/>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$241,000.00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$248,500.00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21.74%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20.92%</w:t>
            </w:r>
            <w:r w:rsidDel="00000000" w:rsidR="00000000" w:rsidRPr="00000000">
              <w:rPr>
                <w:rtl w:val="0"/>
              </w:rPr>
            </w:r>
          </w:p>
        </w:tc>
      </w:tr>
    </w:tbl>
    <w:p w:rsidR="00000000" w:rsidDel="00000000" w:rsidP="00000000" w:rsidRDefault="00000000" w:rsidRPr="00000000" w14:paraId="0000025F">
      <w:pPr>
        <w:jc w:val="both"/>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530"/>
        <w:gridCol w:w="1533"/>
        <w:gridCol w:w="1620"/>
        <w:tblGridChange w:id="0">
          <w:tblGrid>
            <w:gridCol w:w="4672"/>
            <w:gridCol w:w="1530"/>
            <w:gridCol w:w="153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$117,000.00</w:t>
            </w:r>
            <w:r w:rsidDel="00000000" w:rsidR="00000000" w:rsidRPr="00000000">
              <w:rPr>
                <w:rtl w:val="0"/>
              </w:rPr>
            </w:r>
          </w:p>
        </w:tc>
      </w:tr>
    </w:tbl>
    <w:p w:rsidR="00000000" w:rsidDel="00000000" w:rsidP="00000000" w:rsidRDefault="00000000" w:rsidRPr="00000000" w14:paraId="000002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A">
      <w:pPr>
        <w:rPr>
          <w:rFonts w:ascii="Calibri" w:cs="Calibri" w:eastAsia="Calibri" w:hAnsi="Calibri"/>
          <w:sz w:val="24"/>
          <w:szCs w:val="24"/>
        </w:rPr>
      </w:pPr>
      <w:r w:rsidDel="00000000" w:rsidR="00000000" w:rsidRPr="00000000">
        <w:rPr>
          <w:rtl w:val="0"/>
        </w:rPr>
      </w:r>
    </w:p>
    <w:sectPr>
      <w:foot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406400</wp:posOffset>
              </wp:positionV>
              <wp:extent cx="3411943" cy="401379"/>
              <wp:effectExtent b="0" l="0" r="0" t="0"/>
              <wp:wrapNone/>
              <wp:docPr id="1" name=""/>
              <a:graphic>
                <a:graphicData uri="http://schemas.microsoft.com/office/word/2010/wordprocessingShape">
                  <wps:wsp>
                    <wps:cNvSpPr/>
                    <wps:cNvPr id="2" name="Shape 2"/>
                    <wps:spPr>
                      <a:xfrm>
                        <a:off x="3644791" y="3584073"/>
                        <a:ext cx="3402418" cy="391854"/>
                      </a:xfrm>
                      <a:prstGeom prst="rect">
                        <a:avLst/>
                      </a:prstGeom>
                      <a:solidFill>
                        <a:srgbClr val="FF96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406400</wp:posOffset>
              </wp:positionV>
              <wp:extent cx="3411943" cy="40137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411943" cy="40137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