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400"/>
      </w:tblPr>
      <w:tblGrid>
        <w:gridCol w:w="3240"/>
        <w:gridCol w:w="1350"/>
        <w:gridCol w:w="270"/>
        <w:gridCol w:w="2853"/>
        <w:gridCol w:w="1647"/>
        <w:tblGridChange w:id="0">
          <w:tblGrid>
            <w:gridCol w:w="3240"/>
            <w:gridCol w:w="1350"/>
            <w:gridCol w:w="270"/>
            <w:gridCol w:w="2853"/>
            <w:gridCol w:w="1647"/>
          </w:tblGrid>
        </w:tblGridChange>
      </w:tblGrid>
      <w:tr>
        <w:trPr>
          <w:trHeight w:val="4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3333cc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cc"/>
                <w:sz w:val="48"/>
                <w:szCs w:val="48"/>
                <w:rtl w:val="0"/>
              </w:rPr>
              <w:t xml:space="preserve">Business Balance Sheet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3333c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left="-108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ABC Company PVT. LTD.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934 Livingston Drive, West Palm Beach, FL 33404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1-202-555-0152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3333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cc"/>
                <w:rtl w:val="0"/>
              </w:rPr>
              <w:t xml:space="preserve">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3333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3333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cc"/>
                <w:rtl w:val="0"/>
              </w:rPr>
              <w:t xml:space="preserve">LIABILITIES AND EQUITY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Cash in bank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Accounts payable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35900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Accounts receivable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Interest payable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Taxes payable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Prepaid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Notes, short-term (due within 12 months)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 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 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99400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61900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Fixed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Long-term Debt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Machinery &amp; 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Bank loans payable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60000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Furniture &amp; fixtures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70000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Notes payable to stockholders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Leasehold improvements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LESS: Short-term portion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Land &amp; buildings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 long term debt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 fixed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Long-term Debt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172000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(LESS accumulated depreciation on all fixed assets)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66000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Fixed Assets (net of depreciation)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43500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233900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Owners' Equity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Intangibles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Invested capital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Deposits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Retained earnings - beginning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20000</w:t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Goodwill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100000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Retained earnings - current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14000</w:t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Other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225000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Total Owners' Equity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ecfa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134000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TOTAL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367900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TOTAL LIABILITIES AND EQUITY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367900</w:t>
            </w:r>
          </w:p>
        </w:tc>
      </w:tr>
    </w:tbl>
    <w:p w:rsidR="00000000" w:rsidDel="00000000" w:rsidP="00000000" w:rsidRDefault="00000000" w:rsidRPr="00000000" w14:paraId="000000A7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bookmarkStart w:colFirst="0" w:colLast="0" w:name="_3phzaf3oihi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bookmarkStart w:colFirst="0" w:colLast="0" w:name="_gn9dhpxcwo6q" w:id="2"/>
      <w:bookmarkEnd w:id="2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95250</wp:posOffset>
            </wp:positionV>
            <wp:extent cx="5732145" cy="30238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23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bookmarkStart w:colFirst="0" w:colLast="0" w:name="_suoz4i5b03s1" w:id="3"/>
      <w:bookmarkEnd w:id="3"/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