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4429125" cy="6069893"/>
                <wp:effectExtent b="0" l="0" r="0" t="0"/>
                <wp:wrapNone/>
                <wp:docPr id="2" name=""/>
                <a:graphic>
                  <a:graphicData uri="http://schemas.microsoft.com/office/word/2010/wordprocessingGroup">
                    <wpg:wgp>
                      <wpg:cNvGrpSpPr/>
                      <wpg:grpSpPr>
                        <a:xfrm>
                          <a:off x="3131438" y="741525"/>
                          <a:ext cx="4429125" cy="6069893"/>
                          <a:chOff x="3131438" y="741525"/>
                          <a:chExt cx="4429125" cy="6076950"/>
                        </a:xfrm>
                      </wpg:grpSpPr>
                      <wpg:grpSp>
                        <wpg:cNvGrpSpPr/>
                        <wpg:grpSpPr>
                          <a:xfrm>
                            <a:off x="3131438" y="741525"/>
                            <a:ext cx="4429125" cy="6076950"/>
                            <a:chOff x="0" y="0"/>
                            <a:chExt cx="4429125" cy="6076950"/>
                          </a:xfrm>
                        </wpg:grpSpPr>
                        <wps:wsp>
                          <wps:cNvSpPr/>
                          <wps:cNvPr id="3" name="Shape 3"/>
                          <wps:spPr>
                            <a:xfrm>
                              <a:off x="0" y="0"/>
                              <a:ext cx="4429125" cy="6076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4429125" cy="2536361"/>
                              <a:chOff x="0" y="0"/>
                              <a:chExt cx="4429125" cy="2536361"/>
                            </a:xfrm>
                          </wpg:grpSpPr>
                          <wps:wsp>
                            <wps:cNvSpPr/>
                            <wps:cNvPr id="22" name="Shape 22"/>
                            <wps:spPr>
                              <a:xfrm>
                                <a:off x="0" y="190500"/>
                                <a:ext cx="4429125" cy="2345861"/>
                              </a:xfrm>
                              <a:prstGeom prst="rect">
                                <a:avLst/>
                              </a:prstGeom>
                              <a:noFill/>
                              <a:ln cap="flat" cmpd="sng" w="38100">
                                <a:solidFill>
                                  <a:srgbClr val="31859B"/>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76225" y="866775"/>
                                <a:ext cx="3876675" cy="11334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1849b"/>
                                      <w:sz w:val="72"/>
                                      <w:vertAlign w:val="baseline"/>
                                    </w:rPr>
                                    <w:t xml:space="preserve">VENTURE CAPITAL BUSINESS PLAN</w:t>
                                  </w:r>
                                </w:p>
                              </w:txbxContent>
                            </wps:txbx>
                            <wps:bodyPr anchorCtr="0" anchor="t" bIns="45700" lIns="91425" spcFirstLastPara="1" rIns="91425" wrap="square" tIns="45700">
                              <a:noAutofit/>
                            </wps:bodyPr>
                          </wps:wsp>
                          <wpg:grpSp>
                            <wpg:cNvGrpSpPr/>
                            <wpg:grpSpPr>
                              <a:xfrm>
                                <a:off x="1485900" y="0"/>
                                <a:ext cx="1466850" cy="361950"/>
                                <a:chOff x="0" y="0"/>
                                <a:chExt cx="1466850" cy="361950"/>
                              </a:xfrm>
                            </wpg:grpSpPr>
                            <wps:wsp>
                              <wps:cNvSpPr/>
                              <wps:cNvPr id="25" name="Shape 25"/>
                              <wps:spPr>
                                <a:xfrm>
                                  <a:off x="0" y="0"/>
                                  <a:ext cx="1466850" cy="361950"/>
                                </a:xfrm>
                                <a:prstGeom prst="rect">
                                  <a:avLst/>
                                </a:prstGeom>
                                <a:solidFill>
                                  <a:srgbClr val="4BAC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90525" y="28575"/>
                                  <a:ext cx="685800" cy="304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LOGO</w:t>
                                    </w:r>
                                  </w:p>
                                </w:txbxContent>
                              </wps:txbx>
                              <wps:bodyPr anchorCtr="0" anchor="t" bIns="45700" lIns="91425" spcFirstLastPara="1" rIns="91425" wrap="square" tIns="45700">
                                <a:noAutofit/>
                              </wps:bodyPr>
                            </wps:wsp>
                          </wpg:grpSp>
                        </wpg:grpSp>
                        <wps:wsp>
                          <wps:cNvSpPr/>
                          <wps:cNvPr id="27" name="Shape 27"/>
                          <wps:spPr>
                            <a:xfrm>
                              <a:off x="971550" y="3162300"/>
                              <a:ext cx="2638425" cy="752475"/>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8" name="Shape 28"/>
                          <wps:spPr>
                            <a:xfrm>
                              <a:off x="971550" y="4533900"/>
                              <a:ext cx="2638425" cy="1543050"/>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[Christie T. Goode]</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[ct.goode@rhyta.com]</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[609-712-8225]</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[www.goodeloans.com]</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[3656 Watson Street]</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[Camden, NJ 08102]</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0</wp:posOffset>
                </wp:positionV>
                <wp:extent cx="4429125" cy="606989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429125" cy="6069893"/>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is a startup venture capital firm based in </w:t>
      </w:r>
      <w:r w:rsidDel="00000000" w:rsidR="00000000" w:rsidRPr="00000000">
        <w:rPr>
          <w:rFonts w:ascii="Calibri" w:cs="Calibri" w:eastAsia="Calibri" w:hAnsi="Calibri"/>
          <w:color w:val="111111"/>
          <w:highlight w:val="yellow"/>
          <w:rtl w:val="0"/>
        </w:rPr>
        <w:t xml:space="preserve">[Camden, New Jersey]</w:t>
      </w:r>
      <w:r w:rsidDel="00000000" w:rsidR="00000000" w:rsidRPr="00000000">
        <w:rPr>
          <w:rFonts w:ascii="Calibri" w:cs="Calibri" w:eastAsia="Calibri" w:hAnsi="Calibri"/>
          <w:color w:val="111111"/>
          <w:rtl w:val="0"/>
        </w:rPr>
        <w:t xml:space="preserve">. The firm will finance startups and other business ventures that have long-term growth potential.</w:t>
      </w:r>
    </w:p>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recent national economic growth has slowly revived New Jersey’s economy. This is why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will focus on pouring its capital to businesses in the state, aiming to help them achieve their business goals.</w:t>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help local entrepreneurs in building a successful business.</w:t>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is dedicated to providing business capital to aspiring entrepreneurs who have business ideas that can disrupt existing markets and have a high potential to succeed.</w:t>
      </w:r>
    </w:p>
    <w:p w:rsidR="00000000" w:rsidDel="00000000" w:rsidP="00000000" w:rsidRDefault="00000000" w:rsidRPr="00000000" w14:paraId="000000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become the leading venture capital firm in New Jersey and a reliable partner in promoting sustainable business ideas in the state.</w:t>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111111"/>
          <w:highlight w:val="white"/>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Blackrock]</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white"/>
          <w:rtl w:val="0"/>
        </w:rPr>
        <w:t xml:space="preserve">an American global investment management corporation based in New York City, expects global growth to slow next year, and see US growth stabilizing at a much higher level than other regions, even as the effects of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highlight w:val="white"/>
          <w:rtl w:val="0"/>
        </w:rPr>
        <w:t xml:space="preserve">’s fiscal stimulus fade. They believe that markets are vulnerable to fears that a downturn is near, even as they see the actual risk of a US recession as low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highlight w:val="white"/>
          <w:rtl w:val="0"/>
        </w:rPr>
        <w:t xml:space="preserve">. </w:t>
      </w:r>
      <w:r w:rsidDel="00000000" w:rsidR="00000000" w:rsidRPr="00000000">
        <w:rPr>
          <w:rFonts w:ascii="Calibri" w:cs="Calibri" w:eastAsia="Calibri" w:hAnsi="Calibri"/>
          <w:color w:val="111111"/>
          <w:highlight w:val="yellow"/>
          <w:rtl w:val="0"/>
        </w:rPr>
        <w:t xml:space="preserve">[Blackrock]</w:t>
      </w:r>
      <w:r w:rsidDel="00000000" w:rsidR="00000000" w:rsidRPr="00000000">
        <w:rPr>
          <w:rFonts w:ascii="Calibri" w:cs="Calibri" w:eastAsia="Calibri" w:hAnsi="Calibri"/>
          <w:color w:val="111111"/>
          <w:highlight w:val="white"/>
          <w:rtl w:val="0"/>
        </w:rPr>
        <w:t xml:space="preserve"> added that global earnings growth is also set to moderate in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highlight w:val="white"/>
          <w:rtl w:val="0"/>
        </w:rPr>
        <w:t xml:space="preserve">, tracking the more subdued growth outlook.</w:t>
      </w:r>
    </w:p>
    <w:p w:rsidR="00000000" w:rsidDel="00000000" w:rsidP="00000000" w:rsidRDefault="00000000" w:rsidRPr="00000000" w14:paraId="0000002E">
      <w:pPr>
        <w:jc w:val="both"/>
        <w:rPr>
          <w:rFonts w:ascii="Calibri" w:cs="Calibri" w:eastAsia="Calibri" w:hAnsi="Calibri"/>
          <w:color w:val="111111"/>
          <w:highlight w:val="whit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Financial Services Industry</w:t>
      </w:r>
    </w:p>
    <w:p w:rsidR="00000000" w:rsidDel="00000000" w:rsidP="00000000" w:rsidRDefault="00000000" w:rsidRPr="00000000" w14:paraId="0000003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3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[Matthew S. Hernandez]</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for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is </w:t>
      </w:r>
      <w:r w:rsidDel="00000000" w:rsidR="00000000" w:rsidRPr="00000000">
        <w:rPr>
          <w:rFonts w:ascii="Calibri" w:cs="Calibri" w:eastAsia="Calibri" w:hAnsi="Calibri"/>
          <w:color w:val="111111"/>
          <w:highlight w:val="yellow"/>
          <w:rtl w:val="0"/>
        </w:rPr>
        <w:t xml:space="preserve">[$729,573.15]</w:t>
      </w:r>
      <w:r w:rsidDel="00000000" w:rsidR="00000000" w:rsidRPr="00000000">
        <w:rPr>
          <w:rFonts w:ascii="Calibri" w:cs="Calibri" w:eastAsia="Calibri" w:hAnsi="Calibri"/>
          <w:color w:val="111111"/>
          <w:rtl w:val="0"/>
        </w:rPr>
        <w:t xml:space="preserve">, which will be fully provided by the owner, </w:t>
      </w:r>
      <w:r w:rsidDel="00000000" w:rsidR="00000000" w:rsidRPr="00000000">
        <w:rPr>
          <w:rFonts w:ascii="Calibri" w:cs="Calibri" w:eastAsia="Calibri" w:hAnsi="Calibri"/>
          <w:color w:val="111111"/>
          <w:highlight w:val="yellow"/>
          <w:rtl w:val="0"/>
        </w:rPr>
        <w:t xml:space="preserve">[Matthew S. Hernandez]</w:t>
      </w:r>
      <w:r w:rsidDel="00000000" w:rsidR="00000000" w:rsidRPr="00000000">
        <w:rPr>
          <w:rFonts w:ascii="Calibri" w:cs="Calibri" w:eastAsia="Calibri" w:hAnsi="Calibri"/>
          <w:color w:val="111111"/>
          <w:rtl w:val="0"/>
        </w:rPr>
        <w:t xml:space="preserve">. The total funding will be primarily used for capital investments, financial risk analysis, advertising campaigns, and insurance.</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tbl>
      <w:tblPr>
        <w:tblStyle w:val="Table2"/>
        <w:tblW w:w="90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837"/>
        <w:gridCol w:w="3164"/>
        <w:tblGridChange w:id="0">
          <w:tblGrid>
            <w:gridCol w:w="5837"/>
            <w:gridCol w:w="3164"/>
          </w:tblGrid>
        </w:tblGridChange>
      </w:tblGrid>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$ 13,680.49</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$ 715,892.66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$ 729,573.15</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$ 15,892.66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$ 700,000.00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$ 700,000.00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$ 715,892.66</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$ 729,573.15</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$ 729,573.15</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$ 13,680.49</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$ 715,892.66</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$ 715,892.66</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$ 6,459.71</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$ 2,585.46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$ 844.28</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$ 2,581.40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$ 1,209.64</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$ 13,680.49</w:t>
            </w: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$ 700,000.00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$ 15,892.66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$ 715,892.66</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$ 729,573.15</w:t>
            </w:r>
            <w:r w:rsidDel="00000000" w:rsidR="00000000" w:rsidRPr="00000000">
              <w:rPr>
                <w:rtl w:val="0"/>
              </w:rPr>
            </w:r>
          </w:p>
        </w:tc>
      </w:tr>
    </w:tbl>
    <w:p w:rsidR="00000000" w:rsidDel="00000000" w:rsidP="00000000" w:rsidRDefault="00000000" w:rsidRPr="00000000" w14:paraId="0000008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tl w:val="0"/>
        </w:rPr>
      </w:r>
    </w:p>
    <w:tbl>
      <w:tblPr>
        <w:tblStyle w:val="Table3"/>
        <w:tblW w:w="8973.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070"/>
        <w:gridCol w:w="2610"/>
        <w:gridCol w:w="4293"/>
        <w:tblGridChange w:id="0">
          <w:tblGrid>
            <w:gridCol w:w="2070"/>
            <w:gridCol w:w="2610"/>
            <w:gridCol w:w="4293"/>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Nancy D. Soria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Head, Venture Capitalist Consultant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Decision-making, Research, Analytical, Risk Management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Paul M. Mayes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Risk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Problem-solving, Analytical, Communication, Negotiation</w:t>
            </w:r>
          </w:p>
        </w:tc>
      </w:tr>
    </w:tbl>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tbl>
      <w:tblPr>
        <w:tblStyle w:val="Table4"/>
        <w:tblW w:w="90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91"/>
        <w:gridCol w:w="5337"/>
        <w:tblGridChange w:id="0">
          <w:tblGrid>
            <w:gridCol w:w="3691"/>
            <w:gridCol w:w="5337"/>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feasibility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February 7, 2019</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four investor relations officers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February 13, 2019</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Invest in seven high potential startups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approved to finance two start-up companies.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Engage in a profitable investment club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financial risk analysts are observing and studying crypto currencies.</w:t>
            </w:r>
          </w:p>
        </w:tc>
      </w:tr>
    </w:tbl>
    <w:p w:rsidR="00000000" w:rsidDel="00000000" w:rsidP="00000000" w:rsidRDefault="00000000" w:rsidRPr="00000000" w14:paraId="000000A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Camden Ventures intends to work with promising startups and other business ventures within New Jersey. </w:t>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Camden Ventures offers the following financial services:</w:t>
      </w:r>
    </w:p>
    <w:p w:rsidR="00000000" w:rsidDel="00000000" w:rsidP="00000000" w:rsidRDefault="00000000" w:rsidRPr="00000000" w14:paraId="000000AC">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Capital Investments</w:t>
      </w:r>
    </w:p>
    <w:p w:rsidR="00000000" w:rsidDel="00000000" w:rsidP="00000000" w:rsidRDefault="00000000" w:rsidRPr="00000000" w14:paraId="000000AD">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Investment Management</w:t>
      </w:r>
    </w:p>
    <w:p w:rsidR="00000000" w:rsidDel="00000000" w:rsidP="00000000" w:rsidRDefault="00000000" w:rsidRPr="00000000" w14:paraId="000000AE">
      <w:pPr>
        <w:numPr>
          <w:ilvl w:val="0"/>
          <w:numId w:val="2"/>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Consultations</w:t>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The owner of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[Matthew S. Hernandez]</w:t>
      </w:r>
      <w:r w:rsidDel="00000000" w:rsidR="00000000" w:rsidRPr="00000000">
        <w:rPr>
          <w:rFonts w:ascii="Calibri" w:cs="Calibri" w:eastAsia="Calibri" w:hAnsi="Calibri"/>
          <w:color w:val="111111"/>
          <w:rtl w:val="0"/>
        </w:rPr>
        <w:t xml:space="preserve">, together with the help of his team of market analysts, is highly capable of doing meticulous market research, construct new investment strategies, and execute risk assessments and evaluations. This gives the firm a head start in the financial services industry and guarantees great returns on investments.</w:t>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will receive two forms of payments from clients—service and finance charges. Service charges are applied to consultations while finance charges are applied to capital investments. Finance charges have either flat or compound interest rates, depending on the agreed terms with the clients.</w:t>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Formula:</w:t>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(Expenses/Net Sales)</w:t>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[Camden Ventures]</w:t>
      </w: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 ($254,689.88/$565,948.49)</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1-0.45</w:t>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0.55 or 55%</w:t>
      </w:r>
    </w:p>
    <w:p w:rsidR="00000000" w:rsidDel="00000000" w:rsidP="00000000" w:rsidRDefault="00000000" w:rsidRPr="00000000" w14:paraId="000000B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will leverage word-of-mouth marketing, encouraging satisfied clients to spread the firm’s services to their families and peers. The firm will also focus on sponsoring local events and business conventions that attract many entrepreneurs. </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Many hopeful individuals in New Jersey desire to embark on new businesses that provide unique products and services. However, most of them have yet to make a mark in their respective industries.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will locate these innovators and help them finance and grow their businesses. The firm hopes to rapidly gain market shares in </w:t>
      </w:r>
      <w:r w:rsidDel="00000000" w:rsidR="00000000" w:rsidRPr="00000000">
        <w:rPr>
          <w:rFonts w:ascii="Calibri" w:cs="Calibri" w:eastAsia="Calibri" w:hAnsi="Calibri"/>
          <w:color w:val="111111"/>
          <w:highlight w:val="yellow"/>
          <w:rtl w:val="0"/>
        </w:rPr>
        <w:t xml:space="preserve">[New Jersey]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tbl>
      <w:tblPr>
        <w:tblStyle w:val="Table5"/>
        <w:tblW w:w="906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12"/>
        <w:gridCol w:w="1813"/>
        <w:gridCol w:w="1812"/>
        <w:gridCol w:w="1813"/>
        <w:gridCol w:w="1813"/>
        <w:tblGridChange w:id="0">
          <w:tblGrid>
            <w:gridCol w:w="1812"/>
            <w:gridCol w:w="1813"/>
            <w:gridCol w:w="1812"/>
            <w:gridCol w:w="1813"/>
            <w:gridCol w:w="181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Camden Ventures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Filled with reputable market analysts and researchers</w:t>
            </w:r>
          </w:p>
          <w:p w:rsidR="00000000" w:rsidDel="00000000" w:rsidP="00000000" w:rsidRDefault="00000000" w:rsidRPr="00000000" w14:paraId="000000C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66"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strong connection with the local business community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63"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firm</w:t>
            </w:r>
          </w:p>
          <w:p w:rsidR="00000000" w:rsidDel="00000000" w:rsidP="00000000" w:rsidRDefault="00000000" w:rsidRPr="00000000" w14:paraId="000000C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63"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limited range of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number of startups and other business ventures in New Jersey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2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w:t>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28"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Emerging competitors with the same business model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 Venture 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World-class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clients always recognize world-class companies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offer high-quality services at an affordable 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 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Government-backed firm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Small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number of resident-entrepreneurs in New Jersey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Unfavorable government policies</w:t>
            </w:r>
          </w:p>
        </w:tc>
      </w:tr>
    </w:tbl>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will strive to create a positive corporate identity through word-of-mouth marketing. In addition, the firm will engage in brand promotions by sponsoring local events and business conventions.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tbl>
      <w:tblPr>
        <w:tblStyle w:val="Table6"/>
        <w:tblW w:w="9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51"/>
        <w:gridCol w:w="2251"/>
        <w:gridCol w:w="2251"/>
        <w:gridCol w:w="2252"/>
        <w:tblGridChange w:id="0">
          <w:tblGrid>
            <w:gridCol w:w="2251"/>
            <w:gridCol w:w="2251"/>
            <w:gridCol w:w="2251"/>
            <w:gridCol w:w="225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satisfied clients to spread the firm’s services to their family and peers.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Indefinite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Referrals are made twice a month.</w:t>
            </w:r>
          </w:p>
        </w:tc>
      </w:tr>
      <w:tr>
        <w:trPr>
          <w:trHeight w:val="1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Sponsor local events and business conventions.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to November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business relationships with local entrepreneurs.</w:t>
            </w:r>
          </w:p>
        </w:tc>
      </w:tr>
    </w:tbl>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229225" cy="2105025"/>
                <wp:effectExtent b="0" l="0" r="0" t="0"/>
                <wp:docPr id="1" name=""/>
                <a:graphic>
                  <a:graphicData uri="http://schemas.microsoft.com/office/word/2010/wordprocessingGroup">
                    <wpg:wgp>
                      <wpg:cNvGrpSpPr/>
                      <wpg:grpSpPr>
                        <a:xfrm>
                          <a:off x="2731388" y="2727488"/>
                          <a:ext cx="5229225" cy="2105025"/>
                          <a:chOff x="2731388" y="2727488"/>
                          <a:chExt cx="5229225" cy="2105025"/>
                        </a:xfrm>
                      </wpg:grpSpPr>
                      <wpg:grpSp>
                        <wpg:cNvGrpSpPr/>
                        <wpg:grpSpPr>
                          <a:xfrm>
                            <a:off x="2731388" y="2727488"/>
                            <a:ext cx="5229225" cy="2105025"/>
                            <a:chOff x="440025" y="449800"/>
                            <a:chExt cx="5551300" cy="1733400"/>
                          </a:xfrm>
                        </wpg:grpSpPr>
                        <wps:wsp>
                          <wps:cNvSpPr/>
                          <wps:cNvPr id="3" name="Shape 3"/>
                          <wps:spPr>
                            <a:xfrm>
                              <a:off x="440025" y="449800"/>
                              <a:ext cx="5551300" cy="17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50775" y="449800"/>
                              <a:ext cx="13446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5" name="Shape 5"/>
                          <wps:spPr>
                            <a:xfrm>
                              <a:off x="1029175" y="10783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6" name="Shape 6"/>
                          <wps:spPr>
                            <a:xfrm>
                              <a:off x="3295375" y="1078300"/>
                              <a:ext cx="13971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7" name="Shape 7"/>
                          <wps:spPr>
                            <a:xfrm>
                              <a:off x="4400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SERVICE</w:t>
                                </w:r>
                              </w:p>
                            </w:txbxContent>
                          </wps:txbx>
                          <wps:bodyPr anchorCtr="0" anchor="ctr" bIns="91425" lIns="91425" spcFirstLastPara="1" rIns="91425" wrap="square" tIns="91425">
                            <a:noAutofit/>
                          </wps:bodyPr>
                        </wps:wsp>
                        <wps:wsp>
                          <wps:cNvSpPr/>
                          <wps:cNvPr id="8" name="Shape 8"/>
                          <wps:spPr>
                            <a:xfrm>
                              <a:off x="27514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SpPr/>
                          <wps:cNvPr id="9" name="Shape 9"/>
                          <wps:spPr>
                            <a:xfrm>
                              <a:off x="15957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FACILITIES MANAGER</w:t>
                                </w:r>
                              </w:p>
                            </w:txbxContent>
                          </wps:txbx>
                          <wps:bodyPr anchorCtr="0" anchor="ctr" bIns="91425" lIns="91425" spcFirstLastPara="1" rIns="91425" wrap="square" tIns="91425">
                            <a:noAutofit/>
                          </wps:bodyPr>
                        </wps:wsp>
                        <wps:wsp>
                          <wps:cNvSpPr/>
                          <wps:cNvPr id="10" name="Shape 10"/>
                          <wps:spPr>
                            <a:xfrm>
                              <a:off x="50697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w:t>
                                </w:r>
                              </w:p>
                            </w:txbxContent>
                          </wps:txbx>
                          <wps:bodyPr anchorCtr="0" anchor="ctr" bIns="91425" lIns="91425" spcFirstLastPara="1" rIns="91425" wrap="square" tIns="91425">
                            <a:noAutofit/>
                          </wps:bodyPr>
                        </wps:wsp>
                        <wps:wsp>
                          <wps:cNvSpPr/>
                          <wps:cNvPr id="11" name="Shape 11"/>
                          <wps:spPr>
                            <a:xfrm>
                              <a:off x="39071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11600"/>
                              <a:ext cx="11331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11600"/>
                              <a:ext cx="13710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212125" y="1497400"/>
                              <a:ext cx="7818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229225" cy="21050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229225" cy="2105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a sketch or blueprint of the facility.</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photos or images of the location/facility.</w:t>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0F9">
      <w:pPr>
        <w:ind w:left="720"/>
        <w:jc w:val="both"/>
        <w:rPr>
          <w:rFonts w:ascii="Calibri" w:cs="Calibri" w:eastAsia="Calibri" w:hAnsi="Calibri"/>
          <w:b w:val="1"/>
          <w:color w:val="111111"/>
        </w:rPr>
      </w:pPr>
      <w:r w:rsidDel="00000000" w:rsidR="00000000" w:rsidRPr="00000000">
        <w:rPr>
          <w:rtl w:val="0"/>
        </w:rPr>
      </w:r>
    </w:p>
    <w:tbl>
      <w:tblPr>
        <w:tblStyle w:val="Table7"/>
        <w:tblW w:w="900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500"/>
        <w:gridCol w:w="4500"/>
        <w:tblGridChange w:id="0">
          <w:tblGrid>
            <w:gridCol w:w="4500"/>
            <w:gridCol w:w="45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MSH VC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Risk Gap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bl>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current status or condition of the IT infrastructure of Camden Ventures.</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tbl>
      <w:tblPr>
        <w:tblStyle w:val="Table8"/>
        <w:tblW w:w="90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9"/>
        <w:gridCol w:w="1852"/>
        <w:gridCol w:w="4167"/>
        <w:tblGridChange w:id="0">
          <w:tblGrid>
            <w:gridCol w:w="3009"/>
            <w:gridCol w:w="1852"/>
            <w:gridCol w:w="4167"/>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Venture Capital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installed MSH VC.</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Risk Management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installed Risk Gap.</w:t>
            </w:r>
          </w:p>
        </w:tc>
      </w:tr>
    </w:tbl>
    <w:p w:rsidR="00000000" w:rsidDel="00000000" w:rsidP="00000000" w:rsidRDefault="00000000" w:rsidRPr="00000000" w14:paraId="000001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17">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basic assumptions for </w:t>
      </w: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are as follows:</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numPr>
          <w:ilvl w:val="0"/>
          <w:numId w:val="3"/>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firm’s monthly expenses will vary, depending on a wide range of factors such as inflation rates and government policies. </w:t>
      </w:r>
    </w:p>
    <w:p w:rsidR="00000000" w:rsidDel="00000000" w:rsidP="00000000" w:rsidRDefault="00000000" w:rsidRPr="00000000" w14:paraId="0000011D">
      <w:pPr>
        <w:numPr>
          <w:ilvl w:val="0"/>
          <w:numId w:val="3"/>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 the first few months of operations, the firm will only have income from service charges, which are not enough to reach profitability. However, the firm will be able to bounce back in the second half of the fiscal year once it starts collecting finance charges.</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Revenues</w:t>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[Camden Ventures]</w:t>
      </w:r>
      <w:r w:rsidDel="00000000" w:rsidR="00000000" w:rsidRPr="00000000">
        <w:rPr>
          <w:rFonts w:ascii="Calibri" w:cs="Calibri" w:eastAsia="Calibri" w:hAnsi="Calibri"/>
          <w:color w:val="111111"/>
          <w:rtl w:val="0"/>
        </w:rPr>
        <w:t xml:space="preserve"> is a venture capital firm that is privately owned and managed by </w:t>
      </w:r>
      <w:r w:rsidDel="00000000" w:rsidR="00000000" w:rsidRPr="00000000">
        <w:rPr>
          <w:rFonts w:ascii="Calibri" w:cs="Calibri" w:eastAsia="Calibri" w:hAnsi="Calibri"/>
          <w:color w:val="111111"/>
          <w:highlight w:val="yellow"/>
          <w:rtl w:val="0"/>
        </w:rPr>
        <w:t xml:space="preserve">[Matthew S. Hernandez]</w:t>
      </w:r>
      <w:r w:rsidDel="00000000" w:rsidR="00000000" w:rsidRPr="00000000">
        <w:rPr>
          <w:rFonts w:ascii="Calibri" w:cs="Calibri" w:eastAsia="Calibri" w:hAnsi="Calibri"/>
          <w:color w:val="111111"/>
          <w:rtl w:val="0"/>
        </w:rPr>
        <w:t xml:space="preserve">. The firm’s major source of start-up capital is the owner, but investors are still welcome to bid for the firm’s shared ownership.</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Statements</w:t>
      </w:r>
      <w:r w:rsidDel="00000000" w:rsidR="00000000" w:rsidRPr="00000000">
        <w:rPr>
          <w:rtl w:val="0"/>
        </w:rPr>
      </w:r>
    </w:p>
    <w:p w:rsidR="00000000" w:rsidDel="00000000" w:rsidP="00000000" w:rsidRDefault="00000000" w:rsidRPr="00000000" w14:paraId="00000131">
      <w:pPr>
        <w:rPr>
          <w:rFonts w:ascii="Calibri" w:cs="Calibri" w:eastAsia="Calibri" w:hAnsi="Calibri"/>
          <w:b w:val="1"/>
          <w:color w:val="111111"/>
        </w:rPr>
      </w:pPr>
      <w:r w:rsidDel="00000000" w:rsidR="00000000" w:rsidRPr="00000000">
        <w:rPr>
          <w:rtl w:val="0"/>
        </w:rPr>
      </w:r>
    </w:p>
    <w:tbl>
      <w:tblPr>
        <w:tblStyle w:val="Table9"/>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608"/>
        <w:gridCol w:w="1484"/>
        <w:gridCol w:w="1485"/>
        <w:gridCol w:w="1485"/>
        <w:tblGridChange w:id="0">
          <w:tblGrid>
            <w:gridCol w:w="4608"/>
            <w:gridCol w:w="1484"/>
            <w:gridCol w:w="1485"/>
            <w:gridCol w:w="1485"/>
          </w:tblGrid>
        </w:tblGridChange>
      </w:tblGrid>
      <w:tr>
        <w:trPr>
          <w:trHeight w:val="5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$ 751,115.35</w:t>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$ 1,498,138.46</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$ 2,818,230.43</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$ 185,166.86</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$ 329,677.46</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$ 365,191.19</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$ 185,166.86</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$ 329,677.46</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$ 365,191.19</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$ 565,948.49</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$ 1,168,461.00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$ 2,453,039.24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75.35%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77.99%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87.04%</w:t>
            </w:r>
            <w:r w:rsidDel="00000000" w:rsidR="00000000" w:rsidRPr="00000000">
              <w:rPr>
                <w:rtl w:val="0"/>
              </w:rPr>
            </w:r>
          </w:p>
        </w:tc>
      </w:tr>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$ 76,386.10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$ 77,158.65</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$ 77,417.28</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$ 28,846.57</w:t>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$ 29,848.71</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$ 30,421.86</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$ 1,323.22</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$ 1,396.26</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$ 1,563.41</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$ 146,796.28</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$ 147,354.33</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$ 148,722.01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$ 1,337.71</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$ 1,402.34</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$ 1,571.02</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$ 254,689.88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$ 257,160.29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$ 259,695.58</w:t>
            </w:r>
            <w:r w:rsidDel="00000000" w:rsidR="00000000" w:rsidRPr="00000000">
              <w:rPr>
                <w:rtl w:val="0"/>
              </w:rPr>
            </w:r>
          </w:p>
        </w:tc>
      </w:tr>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$ 311,258.61</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$ 911,300.71</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$ 2,193,343.66</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$ 133,698.53</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$ 266,668.66</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$ 501,645.02</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$ 177,560.08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$ 644,632.05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$ 1,691,698.64</w:t>
            </w:r>
            <w:r w:rsidDel="00000000" w:rsidR="00000000" w:rsidRPr="00000000">
              <w:rPr>
                <w:rtl w:val="0"/>
              </w:rPr>
            </w:r>
          </w:p>
        </w:tc>
      </w:tr>
    </w:tbl>
    <w:p w:rsidR="00000000" w:rsidDel="00000000" w:rsidP="00000000" w:rsidRDefault="00000000" w:rsidRPr="00000000" w14:paraId="0000018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B">
      <w:pPr>
        <w:rPr>
          <w:rFonts w:ascii="Calibri" w:cs="Calibri" w:eastAsia="Calibri" w:hAnsi="Calibri"/>
          <w:b w:val="1"/>
          <w:color w:val="111111"/>
        </w:rPr>
      </w:pPr>
      <w:r w:rsidDel="00000000" w:rsidR="00000000" w:rsidRPr="00000000">
        <w:rPr>
          <w:rtl w:val="0"/>
        </w:rPr>
      </w:r>
    </w:p>
    <w:tbl>
      <w:tblPr>
        <w:tblStyle w:val="Table10"/>
        <w:tblW w:w="90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341"/>
        <w:gridCol w:w="1576"/>
        <w:gridCol w:w="1576"/>
        <w:gridCol w:w="1576"/>
        <w:tblGridChange w:id="0">
          <w:tblGrid>
            <w:gridCol w:w="4341"/>
            <w:gridCol w:w="1576"/>
            <w:gridCol w:w="1576"/>
            <w:gridCol w:w="1576"/>
          </w:tblGrid>
        </w:tblGridChange>
      </w:tblGrid>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$ 848,760.35</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$ 1,692,896.46</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$ 3,184,600.39</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$ 525,780.75</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$ 1,048,696.92</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$ 1,972,761.30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$ 1,374,541.10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$ 2,741,593.38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$ 5,157,361.69</w:t>
            </w:r>
            <w:r w:rsidDel="00000000" w:rsidR="00000000" w:rsidRPr="00000000">
              <w:rPr>
                <w:rtl w:val="0"/>
              </w:rPr>
            </w:r>
          </w:p>
        </w:tc>
      </w:tr>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$ 23,417.07</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$ 23,417.07</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$ 23,417.07</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$ 936.68</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$ 2,575.87</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$ 5,620.09</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$ 22,480.39</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$ 20,841.20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$ 17,796.98</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$ 1,397,021.49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$ 2,762,434.58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$ 5,175,158.67</w:t>
            </w:r>
            <w:r w:rsidDel="00000000" w:rsidR="00000000" w:rsidRPr="00000000">
              <w:rPr>
                <w:rtl w:val="0"/>
              </w:rPr>
            </w:r>
          </w:p>
        </w:tc>
      </w:tr>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$ 129,616.80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$ 230,774.22</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$ 255,633.83</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$ 129,616.80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$ 230,774.22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$ 255,633.83</w:t>
            </w:r>
            <w:r w:rsidDel="00000000" w:rsidR="00000000" w:rsidRPr="00000000">
              <w:rPr>
                <w:rtl w:val="0"/>
              </w:rPr>
            </w:r>
          </w:p>
        </w:tc>
      </w:tr>
      <w:tr>
        <w:trPr>
          <w:trHeight w:val="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$ 729,573.15</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$ 824,417.66</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$ 931,591.96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$ 1,870,966.57</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$ 5,853,538.12</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$ 13,569,434.66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$ 1,267,404.69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$ 2,531,660.36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$ 4,919,524.84</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10.23%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w:t>
            </w:r>
            <w:r w:rsidDel="00000000" w:rsidR="00000000" w:rsidRPr="00000000">
              <w:rPr>
                <w:rtl w:val="0"/>
              </w:rPr>
            </w:r>
          </w:p>
        </w:tc>
      </w:tr>
    </w:tbl>
    <w:p w:rsidR="00000000" w:rsidDel="00000000" w:rsidP="00000000" w:rsidRDefault="00000000" w:rsidRPr="00000000" w14:paraId="000001E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6">
      <w:pPr>
        <w:rPr>
          <w:rFonts w:ascii="Calibri" w:cs="Calibri" w:eastAsia="Calibri" w:hAnsi="Calibri"/>
          <w:color w:val="111111"/>
        </w:rPr>
      </w:pPr>
      <w:r w:rsidDel="00000000" w:rsidR="00000000" w:rsidRPr="00000000">
        <w:rPr>
          <w:rtl w:val="0"/>
        </w:rPr>
      </w:r>
    </w:p>
    <w:tbl>
      <w:tblPr>
        <w:tblStyle w:val="Table11"/>
        <w:tblW w:w="91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220"/>
        <w:gridCol w:w="1629"/>
        <w:gridCol w:w="1630"/>
        <w:gridCol w:w="1630"/>
        <w:tblGridChange w:id="0">
          <w:tblGrid>
            <w:gridCol w:w="4220"/>
            <w:gridCol w:w="1629"/>
            <w:gridCol w:w="1630"/>
            <w:gridCol w:w="1630"/>
          </w:tblGrid>
        </w:tblGridChange>
      </w:tblGrid>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$ 848,760.35</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$ 1,692,896.46</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$ 3,184,600.39</w:t>
            </w:r>
          </w:p>
        </w:tc>
      </w:tr>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$ 525,780.75</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$ 1,048,696.92</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$ 1,972,761.30</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$ 751,115.35</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$ 1,498,138.46</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$ 2,818,230.43</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$ 2,125,656.45</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$ 4,239,731.84</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$ 7,975,592.12</w:t>
            </w:r>
          </w:p>
        </w:tc>
      </w:tr>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$ 76,386.10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$ 77,158.65</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$ 77,417.28</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$ 28,846.57</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$ 29,848.71</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$ 30,421.86</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$ 1,323.22</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$ 1,396.26</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$ 1,563.41</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$ 146,796.28</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$ 147,354.33</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$ 148,722.01</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$ 1,337.71</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$ 1,402.34</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$ 1,571.02</w:t>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$ 254,689.88</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$ 257,160.29</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$ 259,695.58</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$ 1,870,966.57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$ 3,982,571.55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$ 7,715,896.54</w:t>
            </w:r>
            <w:r w:rsidDel="00000000" w:rsidR="00000000" w:rsidRPr="00000000">
              <w:rPr>
                <w:rtl w:val="0"/>
              </w:rPr>
            </w:r>
          </w:p>
        </w:tc>
      </w:tr>
    </w:tbl>
    <w:p w:rsidR="00000000" w:rsidDel="00000000" w:rsidP="00000000" w:rsidRDefault="00000000" w:rsidRPr="00000000" w14:paraId="000002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1">
      <w:pPr>
        <w:rPr>
          <w:rFonts w:ascii="Calibri" w:cs="Calibri" w:eastAsia="Calibri" w:hAnsi="Calibri"/>
          <w:color w:val="111111"/>
        </w:rPr>
      </w:pPr>
      <w:r w:rsidDel="00000000" w:rsidR="00000000" w:rsidRPr="00000000">
        <w:br w:type="page"/>
      </w:r>
      <w:r w:rsidDel="00000000" w:rsidR="00000000" w:rsidRPr="00000000">
        <w:rPr>
          <w:rtl w:val="0"/>
        </w:rPr>
      </w:r>
    </w:p>
    <w:sectPr>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