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-390524</wp:posOffset>
                </wp:positionH>
                <wp:positionV relativeFrom="paragraph">
                  <wp:posOffset>28575</wp:posOffset>
                </wp:positionV>
                <wp:extent cx="6019800" cy="7548487"/>
                <wp:effectExtent b="0" l="0" r="0" t="0"/>
                <wp:wrapNone/>
                <wp:docPr id="1" name=""/>
                <a:graphic>
                  <a:graphicData uri="http://schemas.microsoft.com/office/word/2010/wordprocessingGroup">
                    <wpg:wgp>
                      <wpg:cNvGrpSpPr/>
                      <wpg:grpSpPr>
                        <a:xfrm>
                          <a:off x="2336100" y="0"/>
                          <a:ext cx="6019800" cy="7548487"/>
                          <a:chOff x="2336100" y="0"/>
                          <a:chExt cx="6019800" cy="7560000"/>
                        </a:xfrm>
                      </wpg:grpSpPr>
                      <wpg:grpSp>
                        <wpg:cNvGrpSpPr/>
                        <wpg:grpSpPr>
                          <a:xfrm>
                            <a:off x="2336100" y="0"/>
                            <a:ext cx="6019800" cy="7560000"/>
                            <a:chOff x="933450" y="-361950"/>
                            <a:chExt cx="6019800" cy="7769392"/>
                          </a:xfrm>
                        </wpg:grpSpPr>
                        <wps:wsp>
                          <wps:cNvSpPr/>
                          <wps:cNvPr id="3" name="Shape 3"/>
                          <wps:spPr>
                            <a:xfrm>
                              <a:off x="933450" y="-361950"/>
                              <a:ext cx="6019800" cy="776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33800" y="-361950"/>
                              <a:ext cx="3219450" cy="34861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33450" y="838200"/>
                              <a:ext cx="4860758" cy="6569242"/>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466850" y="1371600"/>
                              <a:ext cx="3333750" cy="198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SCHOOL BUSINESS PLAN</w:t>
                                </w:r>
                              </w:p>
                            </w:txbxContent>
                          </wps:txbx>
                          <wps:bodyPr anchorCtr="0" anchor="t" bIns="45700" lIns="91425" spcFirstLastPara="1" rIns="91425" wrap="square" tIns="45700">
                            <a:noAutofit/>
                          </wps:bodyPr>
                        </wps:wsp>
                        <wps:wsp>
                          <wps:cNvSpPr/>
                          <wps:cNvPr id="7" name="Shape 7"/>
                          <wps:spPr>
                            <a:xfrm>
                              <a:off x="1466850" y="3962400"/>
                              <a:ext cx="293116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Business Plan For Fiscal Year 2020</w:t>
                                </w:r>
                              </w:p>
                            </w:txbxContent>
                          </wps:txbx>
                          <wps:bodyPr anchorCtr="0" anchor="t" bIns="45700" lIns="91425" spcFirstLastPara="1" rIns="91425" wrap="square" tIns="45700">
                            <a:noAutofit/>
                          </wps:bodyPr>
                        </wps:wsp>
                        <wps:wsp>
                          <wps:cNvSpPr/>
                          <wps:cNvPr id="8" name="Shape 8"/>
                          <wps:spPr>
                            <a:xfrm>
                              <a:off x="1466850" y="5143500"/>
                              <a:ext cx="2914015" cy="1570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[Lillian Patman] [lpatman@wakefieldmemorial.com] [619-479-4405] [http://wakefieldmemorial.com]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[2805 Poplar Avenue San Diego, CA 92139]</w:t>
                                </w:r>
                              </w:p>
                            </w:txbxContent>
                          </wps:txbx>
                          <wps:bodyPr anchorCtr="0" anchor="t" bIns="45700" lIns="91425" spcFirstLastPara="1" rIns="91425" wrap="square" tIns="45700">
                            <a:noAutofit/>
                          </wps:bodyPr>
                        </wps:wsp>
                        <wps:wsp>
                          <wps:cNvSpPr/>
                          <wps:cNvPr id="9" name="Shape 9"/>
                          <wps:spPr>
                            <a:xfrm>
                              <a:off x="1466850" y="4504059"/>
                              <a:ext cx="293116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[March 30, 2018]</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-390524</wp:posOffset>
                </wp:positionH>
                <wp:positionV relativeFrom="paragraph">
                  <wp:posOffset>28575</wp:posOffset>
                </wp:positionV>
                <wp:extent cx="6019800" cy="7548487"/>
                <wp:effectExtent b="0" l="0" r="0" t="0"/>
                <wp:wrapNone/>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019800" cy="7548487"/>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31">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4486275</wp:posOffset>
                </wp:positionH>
                <wp:positionV relativeFrom="paragraph">
                  <wp:posOffset>57150</wp:posOffset>
                </wp:positionV>
                <wp:extent cx="1238479" cy="1501826"/>
                <wp:effectExtent b="0" l="0" r="0" t="0"/>
                <wp:wrapNone/>
                <wp:docPr id="2" name=""/>
                <a:graphic>
                  <a:graphicData uri="http://schemas.microsoft.com/office/word/2010/wordprocessingShape">
                    <wps:wsp>
                      <wps:cNvSpPr/>
                      <wps:cNvPr id="10" name="Shape 10"/>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4486275</wp:posOffset>
                </wp:positionH>
                <wp:positionV relativeFrom="paragraph">
                  <wp:posOffset>57150</wp:posOffset>
                </wp:positionV>
                <wp:extent cx="1238479" cy="1501826"/>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Wakefield Memorial School is a private school situated in San Jose, California. It is a standard private school that offers primary (kindergarten through sixth grade) and secondary (seventh through twelfth grade) education, funded through tuition fees and levies from students and other private sources. The school offers high-quality education in a conducive learning environment.</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reach the minimum number of enrollees in the first few years of operations, the school shall make use of social media marketing. It will also put advertising literature such as fliers and brochures in public areas such as the local library, bookstores, and the country club. Private schooling remains to be an important feature of the US education system, as it generates possibilities for parents to opt out of state-provided education, which is why financial projections remain positive for Wakefield Memorial School. </w:t>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Overview:</w:t>
      </w:r>
      <w:r w:rsidDel="00000000" w:rsidR="00000000" w:rsidRPr="00000000">
        <w:rPr>
          <w:rtl w:val="0"/>
        </w:rPr>
      </w:r>
    </w:p>
    <w:p w:rsidR="00000000" w:rsidDel="00000000" w:rsidP="00000000" w:rsidRDefault="00000000" w:rsidRPr="00000000" w14:paraId="0000004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Wakefield Memorial School wants to provide a professional and conducive learning environment for students at different levels of learning.</w:t>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Wakefield Memorial School shall ensure that staff and students alike reflect its values of integrity, service, and excellence in everything that they do.</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Wakefield Memorial School has the vision to build a highly competitive private school that will be the first choice for both parents and students in San Diego, California.</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revenue for private schools is expected to increase as the American economy continues to recover. An industry worth over $52 billion, it has an estimated growth rate of 1.2% in the coming years. Despite being a saturated industry, profit from educational institutions remain feasible as a growing population puts more importance on knowledge and education.</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Education</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Lillian Patman and Blair Rhodes</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It will cost an average of $2 million to start a small, but a standard private school in the United States. This amount will partly be financed by the owners, with a loan of $1 million to cover the rest of the finances.</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960"/>
        <w:gridCol w:w="2040"/>
        <w:tblGridChange w:id="0">
          <w:tblGrid>
            <w:gridCol w:w="6960"/>
            <w:gridCol w:w="204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14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4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4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14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4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00"/>
        <w:gridCol w:w="2880"/>
        <w:gridCol w:w="3420"/>
        <w:tblGridChange w:id="0">
          <w:tblGrid>
            <w:gridCol w:w="2700"/>
            <w:gridCol w:w="2880"/>
            <w:gridCol w:w="34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Lillian Patman</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Chairman,</w:t>
            </w:r>
          </w:p>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Board of Directors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Judgment, Problem Solving and Innovation</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Elizabeth Robertson</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School Administrator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Organization Skills, Leadership</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Ken Sutton</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and Security</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Technical Skills, Detail-Oriented</w:t>
            </w:r>
          </w:p>
        </w:tc>
      </w:tr>
    </w:tbl>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tbl>
      <w:tblPr>
        <w:tblStyle w:val="Table3"/>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strategies to address the educational needs of the students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lesson plans to maximize learning</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Coach the administration and staff to develop better communication</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Developed customized classes to better address student needs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current educational practices by implementing a culture of excellence</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robust programs to maximize student potential</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D8">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Wakefield Memorial School offer different educational services within the scope of the education board in the United States. Its service offerings include the following:</w:t>
      </w:r>
    </w:p>
    <w:p w:rsidR="00000000" w:rsidDel="00000000" w:rsidP="00000000" w:rsidRDefault="00000000" w:rsidRPr="00000000" w14:paraId="000000DA">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foundations in basic literacy and numeracy, science, mathematics, geography, history, and social sciences</w:t>
      </w:r>
    </w:p>
    <w:p w:rsidR="00000000" w:rsidDel="00000000" w:rsidP="00000000" w:rsidRDefault="00000000" w:rsidRPr="00000000" w14:paraId="000000DB">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access to extracurricular activities</w:t>
      </w:r>
    </w:p>
    <w:p w:rsidR="00000000" w:rsidDel="00000000" w:rsidP="00000000" w:rsidRDefault="00000000" w:rsidRPr="00000000" w14:paraId="000000DC">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Retail of educational books and materials</w:t>
      </w:r>
    </w:p>
    <w:p w:rsidR="00000000" w:rsidDel="00000000" w:rsidP="00000000" w:rsidRDefault="00000000" w:rsidRPr="00000000" w14:paraId="000000D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Wakefield Memorial School may be new to the industry, but its management and staff are highly qualified and experienced in the field. It also offers competitive academic education, extracurricular activities, and sports to maximize student experience.</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Similar to other schools in the United States, Wakefield Memorial School shall charge students per term. Wakefield Memorial School keeps competitive pricing strategies to be within the average costs of education in the area.</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Wakefield Memorial School shall make use of different marketing and sales strategies to attract enrollees. These strategies include information dissemination via print media such as fliers and brochures. The school will also engage in online marketing and social media networking by putting up a website and maintaining Facebook, Twitter, Instagram, and LinkedIn accounts. It will also join relevant professional organizations.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According to a 2017 report, private schools in the US is a small market with only 40% of them having more than 500 students. </w:t>
      </w:r>
      <w:r w:rsidDel="00000000" w:rsidR="00000000" w:rsidRPr="00000000">
        <w:rPr>
          <w:rFonts w:ascii="Calibri" w:cs="Calibri" w:eastAsia="Calibri" w:hAnsi="Calibri"/>
          <w:color w:val="111111"/>
          <w:highlight w:val="white"/>
          <w:rtl w:val="0"/>
        </w:rPr>
        <w:t xml:space="preserve">Wakefield Memorial School wants to take advantage of this and target students in the mid- to upper-class sectors. The following chart shows the average percentage of enrollees in private schools in the area:</w:t>
      </w:r>
      <w:r w:rsidDel="00000000" w:rsidR="00000000" w:rsidRPr="00000000">
        <w:rPr>
          <w:rtl w:val="0"/>
        </w:rPr>
      </w:r>
    </w:p>
    <w:p w:rsidR="00000000" w:rsidDel="00000000" w:rsidP="00000000" w:rsidRDefault="00000000" w:rsidRPr="00000000" w14:paraId="000000E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ind w:left="81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865914" cy="283845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865914" cy="2838450"/>
                    </a:xfrm>
                    <a:prstGeom prst="rect"/>
                    <a:ln/>
                  </pic:spPr>
                </pic:pic>
              </a:graphicData>
            </a:graphic>
          </wp:inline>
        </w:drawing>
      </w:r>
      <w:r w:rsidDel="00000000" w:rsidR="00000000" w:rsidRPr="00000000">
        <w:rPr>
          <w:rtl w:val="0"/>
        </w:rPr>
      </w:r>
    </w:p>
    <w:tbl>
      <w:tblPr>
        <w:tblStyle w:val="Table4"/>
        <w:tblW w:w="910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875"/>
        <w:gridCol w:w="1815"/>
        <w:gridCol w:w="1710"/>
        <w:gridCol w:w="1620"/>
        <w:tblGridChange w:id="0">
          <w:tblGrid>
            <w:gridCol w:w="2085"/>
            <w:gridCol w:w="1875"/>
            <w:gridCol w:w="1815"/>
            <w:gridCol w:w="1710"/>
            <w:gridCol w:w="1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Wakefield Memorial School</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strong workforce with excellent qualifications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Needs positive recognition to gain more students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competitive industry allows for future expansion</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Changes in government sanctions for private schools</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 Jose Preparatory</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Location is attractive to middle- and upper-class families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tuition costs limit the number of enrollees every year</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Adjustments in tuition fees encourage more enrollees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economic downturn can affect the number of enrollees</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Snicket Preparatory</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Collaborative working environment</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Focus on academics, but fewer extra-curricular activities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location allows for bilingual studies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emergence of competitor schools can threaten revenues</w:t>
            </w:r>
          </w:p>
        </w:tc>
      </w:tr>
    </w:tbl>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Private schools attract students and their parents through educational performance and the passing rates of students in national exams. Private schools continue to thrive due to the fact that public schools cannot always accommodate the educational needs of the children. </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15"/>
        <w:gridCol w:w="2340"/>
        <w:gridCol w:w="1440"/>
        <w:gridCol w:w="3105"/>
        <w:tblGridChange w:id="0">
          <w:tblGrid>
            <w:gridCol w:w="2415"/>
            <w:gridCol w:w="2340"/>
            <w:gridCol w:w="1440"/>
            <w:gridCol w:w="31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Community involvement and networking</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Reach out to school districts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50 enrollees in the new school year</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Traditional media advertising</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fliers and brochures for distribution</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w:t>
            </w:r>
          </w:p>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SY 2019</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Inquiries from and meetings with parents and students</w:t>
            </w:r>
          </w:p>
        </w:tc>
      </w:tr>
      <w:t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and social media reach</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website</w:t>
            </w:r>
          </w:p>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10,000 website views/week</w:t>
            </w:r>
          </w:p>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Reach 25,000 likes by the end of the quarter</w:t>
            </w:r>
          </w:p>
        </w:tc>
      </w:tr>
    </w:tbl>
    <w:p w:rsidR="00000000" w:rsidDel="00000000" w:rsidP="00000000" w:rsidRDefault="00000000" w:rsidRPr="00000000" w14:paraId="0000011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shows the organizational structure of Wakefield Memorial School.</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rPr>
          <w:rFonts w:ascii="Calibri" w:cs="Calibri" w:eastAsia="Calibri" w:hAnsi="Calibri"/>
          <w:color w:val="111111"/>
        </w:rPr>
      </w:pPr>
      <w:r w:rsidDel="00000000" w:rsidR="00000000" w:rsidRPr="00000000">
        <w:rPr>
          <w:rFonts w:ascii="Calibri" w:cs="Calibri" w:eastAsia="Calibri" w:hAnsi="Calibri"/>
          <w:color w:val="111111"/>
        </w:rPr>
        <w:drawing>
          <wp:inline distB="114300" distT="114300" distL="114300" distR="114300">
            <wp:extent cx="5943600" cy="1881188"/>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881188"/>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shows the school layout per floor. Wakefield Memorial School wants to encourage better student performance by ensuring that the classrooms are large enough to make learning comfortable for the students despite their increasing number over time.</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114300" distT="114300" distL="114300" distR="114300">
            <wp:extent cx="4425950" cy="3319463"/>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425950" cy="3319463"/>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Private school education remains relevant due to its ability to help students reach their educational goals. Looking into the current economy, the private school industry remains optimistic regarding its own income-generating goals. The following projections are based on what seems obtainable in the industry, with the assumption that there won’t be any sudden economic downturns or natural disasters in the period stated.</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following chart shows the projected monthly expenses for the upcoming year. The expenses are high in June and July due to the summer break. There is no income, but expenses shall be made for maintenance and renovation, construction, and purchase of school supplies for the next school year, as necessary.</w:t>
      </w:r>
      <w:r w:rsidDel="00000000" w:rsidR="00000000" w:rsidRPr="00000000">
        <w:rPr>
          <w:rtl w:val="0"/>
        </w:rPr>
      </w:r>
    </w:p>
    <w:p w:rsidR="00000000" w:rsidDel="00000000" w:rsidP="00000000" w:rsidRDefault="00000000" w:rsidRPr="00000000" w14:paraId="0000012A">
      <w:pPr>
        <w:ind w:left="630"/>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2C">
      <w:pPr>
        <w:ind w:left="630"/>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the projected monthly revenue for the following year. August will see the highest increase in revenue due to the tuition fees for the school year. </w:t>
      </w:r>
    </w:p>
    <w:p w:rsidR="00000000" w:rsidDel="00000000" w:rsidP="00000000" w:rsidRDefault="00000000" w:rsidRPr="00000000" w14:paraId="0000012D">
      <w:pPr>
        <w:ind w:left="630"/>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ind w:left="630"/>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funded partly through the amount raised by the partners, as well as loans worth $1 million. This amount shall be used for supplies, office and school furniture, construction and design, and payroll. </w:t>
      </w:r>
    </w:p>
    <w:p w:rsidR="00000000" w:rsidDel="00000000" w:rsidP="00000000" w:rsidRDefault="00000000" w:rsidRPr="00000000" w14:paraId="000001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34">
      <w:pPr>
        <w:rPr>
          <w:rFonts w:ascii="Calibri" w:cs="Calibri" w:eastAsia="Calibri" w:hAnsi="Calibri"/>
          <w:b w:val="1"/>
          <w:color w:val="111111"/>
        </w:rPr>
      </w:pPr>
      <w:r w:rsidDel="00000000" w:rsidR="00000000" w:rsidRPr="00000000">
        <w:rPr>
          <w:rtl w:val="0"/>
        </w:rPr>
      </w:r>
    </w:p>
    <w:tbl>
      <w:tblPr>
        <w:tblStyle w:val="Table6"/>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60"/>
        <w:gridCol w:w="2040"/>
        <w:gridCol w:w="1665"/>
        <w:gridCol w:w="1635"/>
        <w:tblGridChange w:id="0">
          <w:tblGrid>
            <w:gridCol w:w="3660"/>
            <w:gridCol w:w="2040"/>
            <w:gridCol w:w="1665"/>
            <w:gridCol w:w="1635"/>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$135,000.00</w:t>
            </w:r>
          </w:p>
        </w:tc>
      </w:tr>
      <w:tr>
        <w:trPr>
          <w:trHeight w:val="9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$565,000.00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$3,435,000.00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80.57%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85.88%</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$965,800.00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$1,329,300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$2,095,000.00</w:t>
            </w:r>
            <w:r w:rsidDel="00000000" w:rsidR="00000000" w:rsidRPr="00000000">
              <w:rPr>
                <w:rtl w:val="0"/>
              </w:rPr>
            </w:r>
          </w:p>
        </w:tc>
      </w:tr>
    </w:tbl>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bl>
      <w:tblPr>
        <w:tblStyle w:val="Table7"/>
        <w:tblW w:w="891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65"/>
        <w:gridCol w:w="2280"/>
        <w:gridCol w:w="2085"/>
        <w:gridCol w:w="1680"/>
        <w:tblGridChange w:id="0">
          <w:tblGrid>
            <w:gridCol w:w="2865"/>
            <w:gridCol w:w="2280"/>
            <w:gridCol w:w="2085"/>
            <w:gridCol w:w="168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12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9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9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$1,485,000.00</w:t>
            </w:r>
            <w:r w:rsidDel="00000000" w:rsidR="00000000" w:rsidRPr="00000000">
              <w:rPr>
                <w:rtl w:val="0"/>
              </w:rPr>
            </w:r>
          </w:p>
        </w:tc>
      </w:tr>
      <w:tr>
        <w:trPr>
          <w:trHeight w:val="9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w:t>
            </w:r>
            <w:r w:rsidDel="00000000" w:rsidR="00000000" w:rsidRPr="00000000">
              <w:rPr>
                <w:rtl w:val="0"/>
              </w:rPr>
            </w:r>
          </w:p>
        </w:tc>
      </w:tr>
    </w:tbl>
    <w:p w:rsidR="00000000" w:rsidDel="00000000" w:rsidP="00000000" w:rsidRDefault="00000000" w:rsidRPr="00000000" w14:paraId="000001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5">
      <w:pPr>
        <w:jc w:val="both"/>
        <w:rPr>
          <w:rFonts w:ascii="Calibri" w:cs="Calibri" w:eastAsia="Calibri" w:hAnsi="Calibri"/>
          <w:b w:val="1"/>
          <w:color w:val="111111"/>
        </w:rPr>
      </w:pP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15"/>
        <w:gridCol w:w="1710"/>
        <w:gridCol w:w="2055"/>
        <w:gridCol w:w="1620"/>
        <w:tblGridChange w:id="0">
          <w:tblGrid>
            <w:gridCol w:w="3615"/>
            <w:gridCol w:w="1710"/>
            <w:gridCol w:w="2055"/>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$4,558,000.00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$8,836,000.00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Renovations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$7,516,000.00</w:t>
            </w:r>
          </w:p>
        </w:tc>
      </w:tr>
    </w:tbl>
    <w:p w:rsidR="00000000" w:rsidDel="00000000" w:rsidP="00000000" w:rsidRDefault="00000000" w:rsidRPr="00000000" w14:paraId="0000022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1">
      <w:pPr>
        <w:rPr>
          <w:rFonts w:ascii="Calibri" w:cs="Calibri" w:eastAsia="Calibri" w:hAnsi="Calibri"/>
          <w:color w:val="111111"/>
        </w:rPr>
      </w:pPr>
      <w:r w:rsidDel="00000000" w:rsidR="00000000" w:rsidRPr="00000000">
        <w:rPr>
          <w:rtl w:val="0"/>
        </w:rPr>
      </w:r>
    </w:p>
    <w:sectPr>
      <w:footerReference r:id="rId13"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1416926" cy="221384"/>
              <wp:effectExtent b="0" l="0" r="0" t="0"/>
              <wp:wrapNone/>
              <wp:docPr id="3" name=""/>
              <a:graphic>
                <a:graphicData uri="http://schemas.microsoft.com/office/word/2010/wordprocessingShape">
                  <wps:wsp>
                    <wps:cNvSpPr/>
                    <wps:cNvPr id="11" name="Shape 11"/>
                    <wps:spPr>
                      <a:xfrm>
                        <a:off x="4642300" y="3674071"/>
                        <a:ext cx="1407401" cy="211859"/>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1416926" cy="221384"/>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416926" cy="22138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