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1638300</wp:posOffset>
                </wp:positionV>
                <wp:extent cx="8258175" cy="4570981"/>
                <wp:effectExtent b="0" l="0" r="0" t="0"/>
                <wp:wrapNone/>
                <wp:docPr id="1" name=""/>
                <a:graphic>
                  <a:graphicData uri="http://schemas.microsoft.com/office/word/2010/wordprocessingGroup">
                    <wpg:wgp>
                      <wpg:cNvGrpSpPr/>
                      <wpg:grpSpPr>
                        <a:xfrm>
                          <a:off x="1216913" y="1498763"/>
                          <a:ext cx="8258175" cy="4570981"/>
                          <a:chOff x="1216913" y="1498763"/>
                          <a:chExt cx="8258175" cy="4562475"/>
                        </a:xfrm>
                      </wpg:grpSpPr>
                      <wpg:grpSp>
                        <wpg:cNvGrpSpPr/>
                        <wpg:grpSpPr>
                          <a:xfrm>
                            <a:off x="1216913" y="1498763"/>
                            <a:ext cx="8258175" cy="4562475"/>
                            <a:chOff x="0" y="0"/>
                            <a:chExt cx="8258175" cy="4562475"/>
                          </a:xfrm>
                        </wpg:grpSpPr>
                        <wps:wsp>
                          <wps:cNvSpPr/>
                          <wps:cNvPr id="3" name="Shape 3"/>
                          <wps:spPr>
                            <a:xfrm>
                              <a:off x="0" y="0"/>
                              <a:ext cx="8258175" cy="456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657350"/>
                              <a:ext cx="8258175" cy="0"/>
                            </a:xfrm>
                            <a:prstGeom prst="straightConnector1">
                              <a:avLst/>
                            </a:prstGeom>
                            <a:noFill/>
                            <a:ln cap="flat" cmpd="sng" w="25400">
                              <a:solidFill>
                                <a:schemeClr val="accent5"/>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rot="1187334">
                              <a:off x="6600825" y="0"/>
                              <a:ext cx="266700" cy="3438525"/>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09675" y="428625"/>
                              <a:ext cx="5572125" cy="4133850"/>
                              <a:chOff x="0" y="0"/>
                              <a:chExt cx="5572125" cy="4133850"/>
                            </a:xfrm>
                          </wpg:grpSpPr>
                          <wps:wsp>
                            <wps:cNvSpPr/>
                            <wps:cNvPr id="7" name="Shape 7"/>
                            <wps:spPr>
                              <a:xfrm>
                                <a:off x="0" y="0"/>
                                <a:ext cx="5572125" cy="118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bacc6"/>
                                      <w:sz w:val="76"/>
                                      <w:vertAlign w:val="baseline"/>
                                    </w:rPr>
                                    <w:t xml:space="preserve">PARKING OR VALET PARKING BUSINESS PLAN</w:t>
                                  </w:r>
                                </w:p>
                              </w:txbxContent>
                            </wps:txbx>
                            <wps:bodyPr anchorCtr="0" anchor="t" bIns="45700" lIns="91425" spcFirstLastPara="1" rIns="91425" wrap="square" tIns="45700">
                              <a:noAutofit/>
                            </wps:bodyPr>
                          </wps:wsp>
                          <wps:wsp>
                            <wps:cNvSpPr/>
                            <wps:cNvPr id="8" name="Shape 8"/>
                            <wps:spPr>
                              <a:xfrm>
                                <a:off x="19050" y="1543050"/>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19050" y="2581275"/>
                                <a:ext cx="2695575" cy="15525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[John Knowles]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[johnknowles@gmail.com]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[702-730-5836]</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[www.thepremiumvalet.com]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[3811 West Charleston Boulevard]</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[Rancho Oakey, Las Vegas, NV 89102, USA]</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1638300</wp:posOffset>
                </wp:positionV>
                <wp:extent cx="8258175" cy="457098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58175" cy="4570981"/>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is a valet parking service provider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The company considers hotels, shopping malls, and casinos as its target market. To effectively promote the company, aside from owning a website, it will also utilize social media and email marketing to attract and gain more customers. </w:t>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plans to become a major parking service provider during conventions and expositions in the coming years. </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provides reliable and excellent valet parking services to guests of luxurious commercial establishments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The employees of 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upholds the values of professionalism, respect, and integrity to ensure customer satisfaction. </w:t>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becomes the premier in valet parking and parking management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increasing number of car owners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establishes a continuous demand for valet parking services in establishments such as hotels, shopping complexes, and casinos. In this regard, the company expects increments in the number of clients in the aforementioned categories. </w:t>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Service Industry</w:t>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[John Knowles]</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sole proprietor generated </w:t>
      </w:r>
      <w:r w:rsidDel="00000000" w:rsidR="00000000" w:rsidRPr="00000000">
        <w:rPr>
          <w:rFonts w:ascii="Calibri" w:cs="Calibri" w:eastAsia="Calibri" w:hAnsi="Calibri"/>
          <w:color w:val="111111"/>
          <w:highlight w:val="yellow"/>
          <w:rtl w:val="0"/>
        </w:rPr>
        <w:t xml:space="preserve">[130K]</w:t>
      </w:r>
      <w:r w:rsidDel="00000000" w:rsidR="00000000" w:rsidRPr="00000000">
        <w:rPr>
          <w:rFonts w:ascii="Calibri" w:cs="Calibri" w:eastAsia="Calibri" w:hAnsi="Calibri"/>
          <w:color w:val="111111"/>
          <w:rtl w:val="0"/>
        </w:rPr>
        <w:t xml:space="preserve"> USD to initially fund the operation of The Premium Valet. The fund generated covers startup disbursements such as rent, insurance, payroll, legal fees, and staff training. </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660"/>
        <w:gridCol w:w="2700"/>
        <w:tblGridChange w:id="0">
          <w:tblGrid>
            <w:gridCol w:w="6660"/>
            <w:gridCol w:w="270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$70,460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$59,540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-$70,460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$59,540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$59,540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$70,460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$59,540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w:t>
            </w:r>
            <w:r w:rsidDel="00000000" w:rsidR="00000000" w:rsidRPr="00000000">
              <w:rPr>
                <w:rtl w:val="0"/>
              </w:rPr>
            </w:r>
          </w:p>
        </w:tc>
      </w:tr>
    </w:tbl>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0"/>
        <w:gridCol w:w="1800"/>
        <w:gridCol w:w="5490"/>
        <w:tblGridChange w:id="0">
          <w:tblGrid>
            <w:gridCol w:w="2070"/>
            <w:gridCol w:w="1800"/>
            <w:gridCol w:w="549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John Knowles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Communication, Team Management, Decision-Making</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Vincent Peters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Relations, Communication</w:t>
            </w:r>
          </w:p>
        </w:tc>
      </w:tr>
    </w:tbl>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10"/>
        <w:gridCol w:w="4950"/>
        <w:tblGridChange w:id="0">
          <w:tblGrid>
            <w:gridCol w:w="4410"/>
            <w:gridCol w:w="4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sales and 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Employed a qualified applicant last October 20,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qualified valet parking attendants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Provided job offers to 5 more valet parking attendants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valet parking services to conventions and expositions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Started email marketing to potential clients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market base in Las Vegas, Nevada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Opened a Facebook account to promote its services</w:t>
            </w:r>
          </w:p>
        </w:tc>
      </w:tr>
    </w:tbl>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9">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partners with hotels, shopping malls, and casinos in providing premium quality valet parking services to their guests.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takes great care in handling the cars of guests when parking them. All parking attendants undergo strict training in order for the company to deliver excellent services. </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charges its partners a set fee of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per day for the valet parking services rendered. The company uses the competitive pricing approach as its pricing strategy. </w:t>
      </w:r>
      <w:r w:rsidDel="00000000" w:rsidR="00000000" w:rsidRPr="00000000">
        <w:rPr>
          <w:rtl w:val="0"/>
        </w:rPr>
      </w:r>
    </w:p>
    <w:p w:rsidR="00000000" w:rsidDel="00000000" w:rsidP="00000000" w:rsidRDefault="00000000" w:rsidRPr="00000000" w14:paraId="000000B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Aside from the website, 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also plans to use both social media and email marketing strategies to promote its services. </w:t>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There is projected growth in the parking management market with the increasing number of car owners in the US. A recent market survey of the company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yielded the following results:</w:t>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20"/>
        <w:gridCol w:w="1710"/>
        <w:gridCol w:w="1440"/>
        <w:gridCol w:w="2430"/>
        <w:gridCol w:w="2160"/>
        <w:tblGridChange w:id="0">
          <w:tblGrid>
            <w:gridCol w:w="1620"/>
            <w:gridCol w:w="1710"/>
            <w:gridCol w:w="1440"/>
            <w:gridCol w:w="243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rtl w:val="0"/>
              </w:rPr>
              <w:t xml:space="preserve">Premium Valet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Provides efficient valet parking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Large establishments tend to choose companies that offer affordable yet excellent quality valet parking 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Influence of established valet parking service companies in Las Vegas, Nevada</w:t>
            </w:r>
          </w:p>
        </w:tc>
      </w:tr>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Your Valet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Holds a record of being the top choice of hotels and resorts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employee turnover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 stick to their usual service providers, especially if the company is a reliable 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companies having high efficiency and low employee turnover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Parking Managers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Uses innovative ways to render valet parking and parking management at casinos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Targets only the elite class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 purchasing power is gradually increasing which means that there will be more car owners going to casinos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Valet parking services that are open to provide its services to any kind of establishment</w:t>
            </w:r>
          </w:p>
        </w:tc>
      </w:tr>
    </w:tbl>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will use social media platforms to advertise its services to a wider market. The company will also send emails to target establishments that it recognizes as potential clients.  </w:t>
      </w:r>
    </w:p>
    <w:p w:rsidR="00000000" w:rsidDel="00000000" w:rsidP="00000000" w:rsidRDefault="00000000" w:rsidRPr="00000000" w14:paraId="000000E1">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0"/>
        <w:gridCol w:w="2520"/>
        <w:gridCol w:w="1350"/>
        <w:gridCol w:w="3510"/>
        <w:tblGridChange w:id="0">
          <w:tblGrid>
            <w:gridCol w:w="1980"/>
            <w:gridCol w:w="2520"/>
            <w:gridCol w:w="1350"/>
            <w:gridCol w:w="35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information about the company’s services along with the website link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website gains 1,000 visits from customers by January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Send subscription/</w:t>
            </w:r>
          </w:p>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newsletter emails to potential and existing clients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obtains 20 new clients by the end of January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follows a simple organizational structure with the general manager, John Knowles, at the top. The general manager decides on the strategies that the company will take in order to grow. The HR and sales and marketing managers submit reports to the general manager as his guide to make important decisions. The general manager also assumes the responsibility of being an operations manager. He supervises and evaluates the performance of the valet attendants. </w:t>
      </w:r>
      <w:r w:rsidDel="00000000" w:rsidR="00000000" w:rsidRPr="00000000">
        <w:rPr>
          <w:rtl w:val="0"/>
        </w:rPr>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OPERATIONAL PLAN</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occupies a </w:t>
      </w:r>
      <w:r w:rsidDel="00000000" w:rsidR="00000000" w:rsidRPr="00000000">
        <w:rPr>
          <w:rFonts w:ascii="Calibri" w:cs="Calibri" w:eastAsia="Calibri" w:hAnsi="Calibri"/>
          <w:color w:val="111111"/>
          <w:highlight w:val="yellow"/>
          <w:rtl w:val="0"/>
        </w:rPr>
        <w:t xml:space="preserve">[940 square foot]</w:t>
      </w:r>
      <w:r w:rsidDel="00000000" w:rsidR="00000000" w:rsidRPr="00000000">
        <w:rPr>
          <w:rFonts w:ascii="Calibri" w:cs="Calibri" w:eastAsia="Calibri" w:hAnsi="Calibri"/>
          <w:color w:val="111111"/>
          <w:rtl w:val="0"/>
        </w:rPr>
        <w:t xml:space="preserve"> office space in </w:t>
      </w:r>
      <w:r w:rsidDel="00000000" w:rsidR="00000000" w:rsidRPr="00000000">
        <w:rPr>
          <w:rFonts w:ascii="Calibri" w:cs="Calibri" w:eastAsia="Calibri" w:hAnsi="Calibri"/>
          <w:color w:val="111111"/>
          <w:highlight w:val="yellow"/>
          <w:rtl w:val="0"/>
        </w:rPr>
        <w:t xml:space="preserve">[3811 West Charleston Boulevard Rancho Oakey, Las Vegas, NV 89102, USA]</w:t>
      </w:r>
      <w:r w:rsidDel="00000000" w:rsidR="00000000" w:rsidRPr="00000000">
        <w:rPr>
          <w:rFonts w:ascii="Calibri" w:cs="Calibri" w:eastAsia="Calibri" w:hAnsi="Calibri"/>
          <w:color w:val="111111"/>
          <w:rtl w:val="0"/>
        </w:rPr>
        <w:t xml:space="preserve">. The company has an open-office layout for ease of communication between employees. </w:t>
      </w: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3">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Premium Valet uses the following IT infrastructure in its operations. </w:t>
      </w:r>
    </w:p>
    <w:p w:rsidR="00000000" w:rsidDel="00000000" w:rsidP="00000000" w:rsidRDefault="00000000" w:rsidRPr="00000000" w14:paraId="00000114">
      <w:pPr>
        <w:ind w:left="720"/>
        <w:jc w:val="both"/>
        <w:rPr>
          <w:rFonts w:ascii="Calibri" w:cs="Calibri" w:eastAsia="Calibri" w:hAnsi="Calibri"/>
          <w:b w:val="1"/>
          <w:color w:val="111111"/>
        </w:rPr>
      </w:pPr>
      <w:r w:rsidDel="00000000" w:rsidR="00000000" w:rsidRPr="00000000">
        <w:rPr>
          <w:rtl w:val="0"/>
        </w:rPr>
      </w:r>
    </w:p>
    <w:tbl>
      <w:tblPr>
        <w:tblStyle w:val="Table8"/>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1530"/>
        <w:gridCol w:w="6210"/>
        <w:tblGridChange w:id="0">
          <w:tblGrid>
            <w:gridCol w:w="1635"/>
            <w:gridCol w:w="1530"/>
            <w:gridCol w:w="621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Facebook account.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experiences quick processing and response time.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does not encounter disruptions when using its chosen network.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refers to both market trends and past financial performance to create estimated financial statements. Its financial goals and objectives are based on the following assumptions:</w:t>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foresees an increase of 38% in sales beginning the second year of its operations.</w:t>
      </w:r>
    </w:p>
    <w:p w:rsidR="00000000" w:rsidDel="00000000" w:rsidP="00000000" w:rsidRDefault="00000000" w:rsidRPr="00000000" w14:paraId="0000012D">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[3.8%]</w:t>
      </w:r>
      <w:r w:rsidDel="00000000" w:rsidR="00000000" w:rsidRPr="00000000">
        <w:rPr>
          <w:rFonts w:ascii="Calibri" w:cs="Calibri" w:eastAsia="Calibri" w:hAnsi="Calibri"/>
          <w:color w:val="111111"/>
          <w:rtl w:val="0"/>
        </w:rPr>
        <w:t xml:space="preserve">. Compensation tax equals </w:t>
      </w:r>
      <w:r w:rsidDel="00000000" w:rsidR="00000000" w:rsidRPr="00000000">
        <w:rPr>
          <w:rFonts w:ascii="Calibri" w:cs="Calibri" w:eastAsia="Calibri" w:hAnsi="Calibri"/>
          <w:color w:val="111111"/>
          <w:highlight w:val="yellow"/>
          <w:rtl w:val="0"/>
        </w:rPr>
        <w:t xml:space="preserve">[11%]</w:t>
      </w:r>
      <w:r w:rsidDel="00000000" w:rsidR="00000000" w:rsidRPr="00000000">
        <w:rPr>
          <w:rFonts w:ascii="Calibri" w:cs="Calibri" w:eastAsia="Calibri" w:hAnsi="Calibri"/>
          <w:color w:val="111111"/>
          <w:rtl w:val="0"/>
        </w:rPr>
        <w:t xml:space="preserve"> of the total gross compensation amount. </w:t>
      </w:r>
    </w:p>
    <w:p w:rsidR="00000000" w:rsidDel="00000000" w:rsidP="00000000" w:rsidRDefault="00000000" w:rsidRPr="00000000" w14:paraId="0000012E">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no expected increases in expenses in the next </w:t>
      </w:r>
      <w:r w:rsidDel="00000000" w:rsidR="00000000" w:rsidRPr="00000000">
        <w:rPr>
          <w:rFonts w:ascii="Calibri" w:cs="Calibri" w:eastAsia="Calibri" w:hAnsi="Calibri"/>
          <w:color w:val="111111"/>
          <w:highlight w:val="yellow"/>
          <w:rtl w:val="0"/>
        </w:rPr>
        <w:t xml:space="preserve">[18 months]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[Premium Valet]</w:t>
      </w:r>
      <w:r w:rsidDel="00000000" w:rsidR="00000000" w:rsidRPr="00000000">
        <w:rPr>
          <w:rFonts w:ascii="Calibri" w:cs="Calibri" w:eastAsia="Calibri" w:hAnsi="Calibri"/>
          <w:color w:val="111111"/>
          <w:rtl w:val="0"/>
        </w:rPr>
        <w:t xml:space="preserve"> generated its funds through a business loan acquired by the sole proprietor. The business loan is payable within </w:t>
      </w:r>
      <w:r w:rsidDel="00000000" w:rsidR="00000000" w:rsidRPr="00000000">
        <w:rPr>
          <w:rFonts w:ascii="Calibri" w:cs="Calibri" w:eastAsia="Calibri" w:hAnsi="Calibri"/>
          <w:color w:val="111111"/>
          <w:highlight w:val="yellow"/>
          <w:rtl w:val="0"/>
        </w:rPr>
        <w:t xml:space="preserve">[18 months]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60"/>
        <w:gridCol w:w="1500"/>
        <w:gridCol w:w="1500"/>
        <w:gridCol w:w="1500"/>
        <w:tblGridChange w:id="0">
          <w:tblGrid>
            <w:gridCol w:w="4860"/>
            <w:gridCol w:w="1500"/>
            <w:gridCol w:w="1500"/>
            <w:gridCol w:w="150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$380,880.00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$152,352.00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$1,653.75</w:t>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$164,025.00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$226,874.25</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$111,975.00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$154,005.75</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40.43%</w:t>
            </w:r>
            <w:r w:rsidDel="00000000" w:rsidR="00000000" w:rsidRPr="00000000">
              <w:rPr>
                <w:rtl w:val="0"/>
              </w:rPr>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$2,601.00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$2,562.50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$2,626.56</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$65,420.00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$65,532.50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$65,647.56</w:t>
            </w:r>
            <w:r w:rsidDel="00000000" w:rsidR="00000000" w:rsidRPr="00000000">
              <w:rPr>
                <w:rtl w:val="0"/>
              </w:rPr>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$98,492.50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$161,226.69</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$4,940.00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$37,102.50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$79,018.19</w:t>
            </w:r>
            <w:r w:rsidDel="00000000" w:rsidR="00000000" w:rsidRPr="00000000">
              <w:rPr>
                <w:rtl w:val="0"/>
              </w:rPr>
            </w:r>
          </w:p>
        </w:tc>
      </w:tr>
    </w:tbl>
    <w:p w:rsidR="00000000" w:rsidDel="00000000" w:rsidP="00000000" w:rsidRDefault="00000000" w:rsidRPr="00000000" w14:paraId="0000019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A">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1500"/>
        <w:gridCol w:w="1500"/>
        <w:gridCol w:w="1500"/>
        <w:tblGridChange w:id="0">
          <w:tblGrid>
            <w:gridCol w:w="4860"/>
            <w:gridCol w:w="1500"/>
            <w:gridCol w:w="1500"/>
            <w:gridCol w:w="1500"/>
          </w:tblGrid>
        </w:tblGridChange>
      </w:tblGrid>
      <w:tr>
        <w:trPr>
          <w:trHeight w:val="340" w:hRule="atLeast"/>
        </w:trPr>
        <w:tc>
          <w:tcPr>
            <w:gridSpan w:val="4"/>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$13,120.00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$43,177.50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$108,199.64</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$24,840.00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$34,279.20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$26,250.00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$27,562.50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$96,120.00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$136,267.50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$212,041.34</w:t>
            </w:r>
            <w:r w:rsidDel="00000000" w:rsidR="00000000" w:rsidRPr="00000000">
              <w:rPr>
                <w:rtl w:val="0"/>
              </w:rPr>
            </w:r>
          </w:p>
        </w:tc>
      </w:tr>
      <w:tr>
        <w:trPr>
          <w:trHeight w:val="3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B7">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r>
      <w:tr>
        <w:trPr>
          <w:trHeight w:val="6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C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$69,250.00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$67,750.00</w:t>
            </w:r>
          </w:p>
        </w:tc>
      </w:tr>
      <w:tr>
        <w:trPr>
          <w:trHeight w:val="6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C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$165,370.00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$204,767.50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$279,791.34</w:t>
            </w:r>
            <w:r w:rsidDel="00000000" w:rsidR="00000000" w:rsidRPr="00000000">
              <w:rPr>
                <w:rtl w:val="0"/>
              </w:rPr>
            </w:r>
          </w:p>
        </w:tc>
      </w:tr>
      <w:tr>
        <w:trPr>
          <w:trHeight w:val="3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$13,225.00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D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$24,500.00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$21,225.00</w:t>
            </w:r>
            <w:r w:rsidDel="00000000" w:rsidR="00000000" w:rsidRPr="00000000">
              <w:rPr>
                <w:rtl w:val="0"/>
              </w:rPr>
            </w:r>
          </w:p>
        </w:tc>
      </w:tr>
      <w:tr>
        <w:trPr>
          <w:trHeight w:val="3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DF">
            <w:pPr>
              <w:widowControl w:val="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4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$6,740.00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$43,842.50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$122,860.69</w:t>
            </w:r>
          </w:p>
        </w:tc>
      </w:tr>
      <w:tr>
        <w:trPr>
          <w:trHeight w:val="600" w:hRule="atLeast"/>
        </w:trPr>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$137,370.00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$180,267.50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$258,566.34</w:t>
            </w:r>
            <w:r w:rsidDel="00000000" w:rsidR="00000000" w:rsidRPr="00000000">
              <w:rPr>
                <w:rtl w:val="0"/>
              </w:rPr>
            </w:r>
          </w:p>
        </w:tc>
      </w:tr>
      <w:tr>
        <w:trPr>
          <w:trHeight w:val="60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20.38%</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8.21%</w:t>
            </w:r>
            <w:r w:rsidDel="00000000" w:rsidR="00000000" w:rsidRPr="00000000">
              <w:rPr>
                <w:rtl w:val="0"/>
              </w:rPr>
            </w:r>
          </w:p>
        </w:tc>
      </w:tr>
    </w:tbl>
    <w:p w:rsidR="00000000" w:rsidDel="00000000" w:rsidP="00000000" w:rsidRDefault="00000000" w:rsidRPr="00000000" w14:paraId="000001F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4">
      <w:pPr>
        <w:rPr>
          <w:rFonts w:ascii="Calibri" w:cs="Calibri" w:eastAsia="Calibri" w:hAnsi="Calibri"/>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30"/>
        <w:gridCol w:w="1530"/>
        <w:tblGridChange w:id="0">
          <w:tblGrid>
            <w:gridCol w:w="4770"/>
            <w:gridCol w:w="1530"/>
            <w:gridCol w:w="1530"/>
            <w:gridCol w:w="153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F9">
            <w:pPr>
              <w:widowControl w:val="0"/>
              <w:rPr>
                <w:rFonts w:ascii="Calibri" w:cs="Calibri" w:eastAsia="Calibri" w:hAnsi="Calibri"/>
                <w:color w:val="111111"/>
              </w:rPr>
            </w:pPr>
            <w:bookmarkStart w:colFirst="0" w:colLast="0" w:name="_gjdgxs" w:id="0"/>
            <w:bookmarkEnd w:id="0"/>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$43,177.50</w:t>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20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0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$7,812.50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$34,279.20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$85,698.00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$2,880.00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$78,540.00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$108,710.00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$173,847.20</w:t>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21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$16,920.00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$2,601.00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$2,562.50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$2,626.56</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$65,420.00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$65,532.50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$65,647.56</w:t>
            </w:r>
          </w:p>
        </w:tc>
      </w:tr>
      <w:tr>
        <w:trPr>
          <w:trHeight w:val="360" w:hRule="atLeast"/>
        </w:trPr>
        <w:tc>
          <w:tcPr>
            <w:tcMar>
              <w:top w:w="40.0" w:type="dxa"/>
              <w:left w:w="40.0" w:type="dxa"/>
              <w:bottom w:w="40.0" w:type="dxa"/>
              <w:right w:w="40.0" w:type="dxa"/>
            </w:tcMar>
            <w:vAlign w:val="center"/>
          </w:tcPr>
          <w:p w:rsidR="00000000" w:rsidDel="00000000" w:rsidP="00000000" w:rsidRDefault="00000000" w:rsidRPr="00000000" w14:paraId="0000023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$13,120.00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$43,177.50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$108,199.64</w:t>
            </w:r>
            <w:r w:rsidDel="00000000" w:rsidR="00000000" w:rsidRPr="00000000">
              <w:rPr>
                <w:rtl w:val="0"/>
              </w:rPr>
            </w:r>
          </w:p>
        </w:tc>
      </w:tr>
    </w:tbl>
    <w:p w:rsidR="00000000" w:rsidDel="00000000" w:rsidP="00000000" w:rsidRDefault="00000000" w:rsidRPr="00000000" w14:paraId="0000023D">
      <w:pPr>
        <w:rPr>
          <w:rFonts w:ascii="Calibri" w:cs="Calibri" w:eastAsia="Calibri" w:hAnsi="Calibri"/>
          <w:color w:val="111111"/>
        </w:rPr>
      </w:pPr>
      <w:r w:rsidDel="00000000" w:rsidR="00000000" w:rsidRPr="00000000">
        <w:rPr>
          <w:rtl w:val="0"/>
        </w:rPr>
      </w:r>
    </w:p>
    <w:sectPr>
      <w:footerReference r:id="rId10" w:type="default"/>
      <w:footerReference r:id="rId11"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