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733925" cy="5673121"/>
                <wp:effectExtent b="0" l="0" r="0" t="0"/>
                <wp:wrapNone/>
                <wp:docPr id="1" name=""/>
                <a:graphic>
                  <a:graphicData uri="http://schemas.microsoft.com/office/word/2010/wordprocessingGroup">
                    <wpg:wgp>
                      <wpg:cNvGrpSpPr/>
                      <wpg:grpSpPr>
                        <a:xfrm>
                          <a:off x="2979038" y="941550"/>
                          <a:ext cx="4733925" cy="5673121"/>
                          <a:chOff x="2979038" y="941550"/>
                          <a:chExt cx="4734012" cy="5676900"/>
                        </a:xfrm>
                      </wpg:grpSpPr>
                      <wpg:grpSp>
                        <wpg:cNvGrpSpPr/>
                        <wpg:grpSpPr>
                          <a:xfrm>
                            <a:off x="2979038" y="941550"/>
                            <a:ext cx="4734012" cy="5676900"/>
                            <a:chOff x="0" y="0"/>
                            <a:chExt cx="4734012" cy="5676900"/>
                          </a:xfrm>
                        </wpg:grpSpPr>
                        <wps:wsp>
                          <wps:cNvSpPr/>
                          <wps:cNvPr id="3" name="Shape 3"/>
                          <wps:spPr>
                            <a:xfrm>
                              <a:off x="0" y="0"/>
                              <a:ext cx="4733925" cy="567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90900" cy="139065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28712" y="1057275"/>
                              <a:ext cx="3705300" cy="4619625"/>
                              <a:chOff x="12" y="0"/>
                              <a:chExt cx="3705300" cy="4619625"/>
                            </a:xfrm>
                          </wpg:grpSpPr>
                          <wps:wsp>
                            <wps:cNvSpPr/>
                            <wps:cNvPr id="6" name="Shape 6"/>
                            <wps:spPr>
                              <a:xfrm>
                                <a:off x="12" y="0"/>
                                <a:ext cx="3705300" cy="196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bacc6"/>
                                      <w:sz w:val="84"/>
                                      <w:vertAlign w:val="baseline"/>
                                    </w:rPr>
                                    <w:t xml:space="preserve">MICROFINANCE BUSINESS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bacc6"/>
                                      <w:sz w:val="84"/>
                                      <w:vertAlign w:val="baseline"/>
                                    </w:rPr>
                                  </w:r>
                                  <w:r w:rsidDel="00000000" w:rsidR="00000000" w:rsidRPr="00000000">
                                    <w:rPr>
                                      <w:rFonts w:ascii="Calibri" w:cs="Calibri" w:eastAsia="Calibri" w:hAnsi="Calibri"/>
                                      <w:b w:val="1"/>
                                      <w:i w:val="0"/>
                                      <w:smallCaps w:val="0"/>
                                      <w:strike w:val="0"/>
                                      <w:color w:val="4bacc6"/>
                                      <w:sz w:val="84"/>
                                      <w:vertAlign w:val="baseline"/>
                                    </w:rPr>
                                    <w:t xml:space="preserve">PLAN</w:t>
                                  </w:r>
                                </w:p>
                              </w:txbxContent>
                            </wps:txbx>
                            <wps:bodyPr anchorCtr="0" anchor="t" bIns="45700" lIns="91425" spcFirstLastPara="1" rIns="91425" wrap="square" tIns="45700">
                              <a:noAutofit/>
                            </wps:bodyPr>
                          </wps:wsp>
                          <wpg:grpSp>
                            <wpg:cNvGrpSpPr/>
                            <wpg:grpSpPr>
                              <a:xfrm>
                                <a:off x="28575" y="2066925"/>
                                <a:ext cx="2638425" cy="2552700"/>
                                <a:chOff x="0" y="0"/>
                                <a:chExt cx="2638425" cy="2552700"/>
                              </a:xfrm>
                            </wpg:grpSpPr>
                            <wps:wsp>
                              <wps:cNvSpPr/>
                              <wps:cNvPr id="8" name="Shape 8"/>
                              <wps:spPr>
                                <a:xfrm>
                                  <a:off x="0" y="0"/>
                                  <a:ext cx="2638425" cy="7524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0" y="1200150"/>
                                  <a:ext cx="2638425" cy="135255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[Clara Mann]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[claramann@gmail.com]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[413-442-8174]</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[www.mann&amp;comicrofinancellc.com]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[54 North St, Pittsfield, MA 01201, USA]</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733925" cy="5673121"/>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733925" cy="5673121"/>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br w:type="page"/>
      </w: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1">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[MANN AND CO. MICROFINANCE</w:t>
      </w:r>
      <w:r w:rsidDel="00000000" w:rsidR="00000000" w:rsidRPr="00000000">
        <w:rPr>
          <w:rFonts w:ascii="Calibri" w:cs="Calibri" w:eastAsia="Calibri" w:hAnsi="Calibri"/>
          <w:b w:val="1"/>
          <w:color w:val="111111"/>
          <w:highlight w:val="yellow"/>
          <w:rtl w:val="0"/>
        </w:rPr>
        <w:t xml:space="preserve"> LLC]</w:t>
      </w:r>
      <w:r w:rsidDel="00000000" w:rsidR="00000000" w:rsidRPr="00000000">
        <w:rPr>
          <w:rFonts w:ascii="Calibri" w:cs="Calibri" w:eastAsia="Calibri" w:hAnsi="Calibri"/>
          <w:color w:val="111111"/>
          <w:rtl w:val="0"/>
        </w:rPr>
        <w:t xml:space="preserve"> is a microfinance bank based in </w:t>
      </w:r>
      <w:r w:rsidDel="00000000" w:rsidR="00000000" w:rsidRPr="00000000">
        <w:rPr>
          <w:rFonts w:ascii="Calibri" w:cs="Calibri" w:eastAsia="Calibri" w:hAnsi="Calibri"/>
          <w:color w:val="111111"/>
          <w:highlight w:val="yellow"/>
          <w:rtl w:val="0"/>
        </w:rPr>
        <w:t xml:space="preserve">[PITTSFIELD, MASSACHUSETTS]</w:t>
      </w:r>
      <w:r w:rsidDel="00000000" w:rsidR="00000000" w:rsidRPr="00000000">
        <w:rPr>
          <w:rFonts w:ascii="Calibri" w:cs="Calibri" w:eastAsia="Calibri" w:hAnsi="Calibri"/>
          <w:color w:val="111111"/>
          <w:rtl w:val="0"/>
        </w:rPr>
        <w:t xml:space="preserve">. The company offers premium quality financial services to small and mid-sized businesses. Although considered as an alternative for conventional banks, the company aims to support economic development through its services. </w:t>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will use email and social media marketing as well as search engine optimization </w:t>
      </w:r>
      <w:r w:rsidDel="00000000" w:rsidR="00000000" w:rsidRPr="00000000">
        <w:rPr>
          <w:rFonts w:ascii="Calibri" w:cs="Calibri" w:eastAsia="Calibri" w:hAnsi="Calibri"/>
          <w:color w:val="111111"/>
          <w:highlight w:val="yellow"/>
          <w:rtl w:val="0"/>
        </w:rPr>
        <w:t xml:space="preserve">[SEO]</w:t>
      </w:r>
      <w:r w:rsidDel="00000000" w:rsidR="00000000" w:rsidRPr="00000000">
        <w:rPr>
          <w:rFonts w:ascii="Calibri" w:cs="Calibri" w:eastAsia="Calibri" w:hAnsi="Calibri"/>
          <w:color w:val="111111"/>
          <w:rtl w:val="0"/>
        </w:rPr>
        <w:t xml:space="preserve"> to reach a wider scope of its target market. The company anticipates increments in the number of clients with the current growing interest in microfinance services. </w:t>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contributes to the city’s economic development by providing financial solutions and support to micro and medium-scale enterprise growth. </w:t>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prioritizes the needs of its clients and serves them with honesty, integrity, and professionalism. </w:t>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wants to become the leading microfinance institution that provides business opportunities to entrepreneurs. </w:t>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microfinance industry may still be young in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but is steadily growing with the ongoing interest in alternative financial solutions. The company expects small to mid-sized businesses to consider microcredit financial services compared to other enterprises.  </w:t>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Banking and Finance Industry</w:t>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Liability Company</w:t>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Limited Liability Company, </w:t>
      </w:r>
      <w:r w:rsidDel="00000000" w:rsidR="00000000" w:rsidRPr="00000000">
        <w:rPr>
          <w:rFonts w:ascii="Calibri" w:cs="Calibri" w:eastAsia="Calibri" w:hAnsi="Calibri"/>
          <w:color w:val="111111"/>
          <w:highlight w:val="yellow"/>
          <w:rtl w:val="0"/>
        </w:rPr>
        <w:t xml:space="preserve">[Clara Mann]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[Joanne Mack]</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[Michael Aiken]</w:t>
      </w: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board members of </w:t>
      </w: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contributed equally to generate a total start-up cost of </w:t>
      </w:r>
      <w:r w:rsidDel="00000000" w:rsidR="00000000" w:rsidRPr="00000000">
        <w:rPr>
          <w:rFonts w:ascii="Calibri" w:cs="Calibri" w:eastAsia="Calibri" w:hAnsi="Calibri"/>
          <w:color w:val="111111"/>
          <w:highlight w:val="yellow"/>
          <w:rtl w:val="0"/>
        </w:rPr>
        <w:t xml:space="preserve">[150K USD]</w:t>
      </w:r>
      <w:r w:rsidDel="00000000" w:rsidR="00000000" w:rsidRPr="00000000">
        <w:rPr>
          <w:rFonts w:ascii="Calibri" w:cs="Calibri" w:eastAsia="Calibri" w:hAnsi="Calibri"/>
          <w:color w:val="111111"/>
          <w:rtl w:val="0"/>
        </w:rPr>
        <w:t xml:space="preserve">. The funds are used to pay for rent, insurance, legal fees, and advertising costs.   </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675"/>
        <w:gridCol w:w="3685"/>
        <w:tblGridChange w:id="0">
          <w:tblGrid>
            <w:gridCol w:w="5675"/>
            <w:gridCol w:w="368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$64,550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$85,450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$56,450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$85,450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-$64,550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$85,450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$85,450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$64,550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$85,450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bl>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910"/>
        <w:gridCol w:w="2670"/>
        <w:gridCol w:w="3780"/>
        <w:tblGridChange w:id="0">
          <w:tblGrid>
            <w:gridCol w:w="2910"/>
            <w:gridCol w:w="2670"/>
            <w:gridCol w:w="37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Michael Aiken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Team Management, Communication, Problem-Solving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Joanne Mack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Attention to Detail, Analytical, Data Interpretation</w:t>
            </w:r>
          </w:p>
        </w:tc>
      </w:tr>
    </w:tbl>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A4">
      <w:pPr>
        <w:jc w:val="both"/>
        <w:rPr>
          <w:rFonts w:ascii="Calibri" w:cs="Calibri" w:eastAsia="Calibri" w:hAnsi="Calibri"/>
          <w:b w:val="1"/>
          <w:color w:val="111111"/>
        </w:rPr>
      </w:pPr>
      <w:r w:rsidDel="00000000" w:rsidR="00000000" w:rsidRPr="00000000">
        <w:rPr>
          <w:rtl w:val="0"/>
        </w:rPr>
      </w:r>
    </w:p>
    <w:tbl>
      <w:tblPr>
        <w:tblStyle w:val="Table4"/>
        <w:tblW w:w="939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75"/>
        <w:gridCol w:w="4815"/>
        <w:tblGridChange w:id="0">
          <w:tblGrid>
            <w:gridCol w:w="4575"/>
            <w:gridCol w:w="48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competent employees for the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2 new employees last November 1, 2018 to handle microcredit transactions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Tighten online market presence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Opened social media accounts to be closer to the target market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 a branch in a different developing city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Scouted a strategic location in Boston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 valuable clients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Offered customer-centric financial solutions</w:t>
            </w:r>
          </w:p>
        </w:tc>
      </w:tr>
    </w:tbl>
    <w:p w:rsidR="00000000" w:rsidDel="00000000" w:rsidP="00000000" w:rsidRDefault="00000000" w:rsidRPr="00000000" w14:paraId="000000B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B4">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offers savings and microcredit financial services to its clients who lack requirements to acquire approval for conventional business loans. </w:t>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is a customer-centric company. The company supports an individual’s dream to start a business through the financial services it offers. </w:t>
      </w:r>
    </w:p>
    <w:p w:rsidR="00000000" w:rsidDel="00000000" w:rsidP="00000000" w:rsidRDefault="00000000" w:rsidRPr="00000000" w14:paraId="000000B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uses the penetration pricing method. The company offers microcredit at lower but still competitive interest rates. Finance charges are also lower than most existing microfinance companies in </w:t>
      </w:r>
      <w:r w:rsidDel="00000000" w:rsidR="00000000" w:rsidRPr="00000000">
        <w:rPr>
          <w:rFonts w:ascii="Calibri" w:cs="Calibri" w:eastAsia="Calibri" w:hAnsi="Calibri"/>
          <w:color w:val="111111"/>
          <w:highlight w:val="yellow"/>
          <w:rtl w:val="0"/>
        </w:rPr>
        <w:t xml:space="preserve">[Pittsfield, Massachusetts]</w:t>
      </w: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targets existing small to medium-scale enterprises having the potential for business growth. The company takes advantage of the Internet and plans to use online marketing strategies. </w:t>
      </w: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has been rather late in adapting microfinance. Microfinance has been used by various states to boost the economic vitality of small to medium-scale enterprises. In this regard,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microfinance movement also caters to the aforementioned businesses as they are also vital to the state’s economic development. Microfinance companies mostly target small to mid-sized businesses in steadily growing cities like </w:t>
      </w:r>
      <w:r w:rsidDel="00000000" w:rsidR="00000000" w:rsidRPr="00000000">
        <w:rPr>
          <w:rFonts w:ascii="Calibri" w:cs="Calibri" w:eastAsia="Calibri" w:hAnsi="Calibri"/>
          <w:color w:val="111111"/>
          <w:highlight w:val="yellow"/>
          <w:rtl w:val="0"/>
        </w:rPr>
        <w:t xml:space="preserve">[Pittsfield, Massachusetts]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5"/>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00"/>
        <w:gridCol w:w="1800"/>
        <w:gridCol w:w="1800"/>
        <w:gridCol w:w="1800"/>
        <w:gridCol w:w="2160"/>
        <w:tblGridChange w:id="0">
          <w:tblGrid>
            <w:gridCol w:w="1800"/>
            <w:gridCol w:w="1800"/>
            <w:gridCol w:w="1800"/>
            <w:gridCol w:w="180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1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7">
            <w:pPr>
              <w:rPr>
                <w:rFonts w:ascii="Calibri" w:cs="Calibri" w:eastAsia="Calibri" w:hAnsi="Calibri"/>
                <w:color w:val="111111"/>
              </w:rPr>
            </w:pPr>
            <w:r w:rsidDel="00000000" w:rsidR="00000000" w:rsidRPr="00000000">
              <w:rPr>
                <w:rFonts w:ascii="Calibri" w:cs="Calibri" w:eastAsia="Calibri" w:hAnsi="Calibri"/>
                <w:color w:val="111111"/>
                <w:rtl w:val="0"/>
              </w:rPr>
              <w:t xml:space="preserve">Mann and Co. Microfinance LLC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customer-focused microcredit financial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market coverage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growing interest of small businesses on microcredit financial solutions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Influence of established microfinance banks in Pittsfield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 Microfinance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Recognized as one of the trusted microfinance banks in Massachusetts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 interest rates and finance charges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the number of microfinance banks that offer lower interest rates and finance charges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Pittsfield Microfinance Inc.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Ranks as the top microfinance bank in terms of customer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market presence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advantages of adopting advanced technology in the form of mobile banking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Tight competition due to the increasing number of microfinance banks</w:t>
            </w:r>
          </w:p>
        </w:tc>
      </w:tr>
    </w:tbl>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will utilize email and social media marketing to promote its services. The company will also optimize its website through the help of an external </w:t>
      </w:r>
      <w:r w:rsidDel="00000000" w:rsidR="00000000" w:rsidRPr="00000000">
        <w:rPr>
          <w:rFonts w:ascii="Calibri" w:cs="Calibri" w:eastAsia="Calibri" w:hAnsi="Calibri"/>
          <w:color w:val="111111"/>
          <w:highlight w:val="yellow"/>
          <w:rtl w:val="0"/>
        </w:rPr>
        <w:t xml:space="preserve">[SEO]</w:t>
      </w:r>
      <w:r w:rsidDel="00000000" w:rsidR="00000000" w:rsidRPr="00000000">
        <w:rPr>
          <w:rFonts w:ascii="Calibri" w:cs="Calibri" w:eastAsia="Calibri" w:hAnsi="Calibri"/>
          <w:color w:val="111111"/>
          <w:rtl w:val="0"/>
        </w:rPr>
        <w:t xml:space="preserve"> service provider. The following table sums up the activities needed to be accomplished and the success criteria for each. </w:t>
      </w:r>
    </w:p>
    <w:p w:rsidR="00000000" w:rsidDel="00000000" w:rsidP="00000000" w:rsidRDefault="00000000" w:rsidRPr="00000000" w14:paraId="000000D8">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50"/>
        <w:gridCol w:w="2250"/>
        <w:gridCol w:w="2250"/>
        <w:gridCol w:w="2610"/>
        <w:tblGridChange w:id="0">
          <w:tblGrid>
            <w:gridCol w:w="2250"/>
            <w:gridCol w:w="2250"/>
            <w:gridCol w:w="2250"/>
            <w:gridCol w:w="26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Email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a final list of potential clients before sending the emails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10,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receives feedback from potential clients.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about the company’s microcredit services on 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gains website visits and inquiries about its services.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an SEO company to handle website optimization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25,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website tops the search list on various search engines. </w:t>
            </w:r>
          </w:p>
        </w:tc>
      </w:tr>
    </w:tbl>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[MANN AND CO. MICROFINANCE LLC’S]</w:t>
      </w:r>
      <w:r w:rsidDel="00000000" w:rsidR="00000000" w:rsidRPr="00000000">
        <w:rPr>
          <w:rFonts w:ascii="Calibri" w:cs="Calibri" w:eastAsia="Calibri" w:hAnsi="Calibri"/>
          <w:color w:val="111111"/>
          <w:rtl w:val="0"/>
        </w:rPr>
        <w:t xml:space="preserve"> corporate structure is headed by the board members with business owner Clara Mann. The board members decide the implementation of strategies and policies to boost the company’s growth and development. Among the board members, </w:t>
      </w:r>
      <w:r w:rsidDel="00000000" w:rsidR="00000000" w:rsidRPr="00000000">
        <w:rPr>
          <w:rFonts w:ascii="Calibri" w:cs="Calibri" w:eastAsia="Calibri" w:hAnsi="Calibri"/>
          <w:color w:val="111111"/>
          <w:highlight w:val="yellow"/>
          <w:rtl w:val="0"/>
        </w:rPr>
        <w:t xml:space="preserve">[Michael Aiken]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[Joanne Mack]</w:t>
      </w:r>
      <w:r w:rsidDel="00000000" w:rsidR="00000000" w:rsidRPr="00000000">
        <w:rPr>
          <w:rFonts w:ascii="Calibri" w:cs="Calibri" w:eastAsia="Calibri" w:hAnsi="Calibri"/>
          <w:color w:val="111111"/>
          <w:rtl w:val="0"/>
        </w:rPr>
        <w:t xml:space="preserve"> assume managerial positions in the company. </w:t>
      </w: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operates in an office space located in </w:t>
      </w:r>
      <w:r w:rsidDel="00000000" w:rsidR="00000000" w:rsidRPr="00000000">
        <w:rPr>
          <w:rFonts w:ascii="Calibri" w:cs="Calibri" w:eastAsia="Calibri" w:hAnsi="Calibri"/>
          <w:color w:val="111111"/>
          <w:highlight w:val="yellow"/>
          <w:rtl w:val="0"/>
        </w:rPr>
        <w:t xml:space="preserve">[54 North St, Pittsfield, MA 01201, USA]</w:t>
      </w:r>
      <w:r w:rsidDel="00000000" w:rsidR="00000000" w:rsidRPr="00000000">
        <w:rPr>
          <w:rFonts w:ascii="Calibri" w:cs="Calibri" w:eastAsia="Calibri" w:hAnsi="Calibri"/>
          <w:color w:val="111111"/>
          <w:rtl w:val="0"/>
        </w:rPr>
        <w:t xml:space="preserve">. The office has a typical ambiance of a financial institution.</w:t>
      </w:r>
      <w:r w:rsidDel="00000000" w:rsidR="00000000" w:rsidRPr="00000000">
        <w:rPr>
          <w:rtl w:val="0"/>
        </w:rPr>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0F4">
      <w:pPr>
        <w:ind w:left="720"/>
        <w:jc w:val="both"/>
        <w:rPr>
          <w:rFonts w:ascii="Calibri" w:cs="Calibri" w:eastAsia="Calibri" w:hAnsi="Calibri"/>
          <w:color w:val="111111"/>
        </w:rPr>
      </w:pPr>
      <w:r w:rsidDel="00000000" w:rsidR="00000000" w:rsidRPr="00000000">
        <w:rPr>
          <w:rtl w:val="0"/>
        </w:rPr>
      </w:r>
    </w:p>
    <w:tbl>
      <w:tblPr>
        <w:tblStyle w:val="Table7"/>
        <w:tblW w:w="945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40"/>
        <w:gridCol w:w="4710"/>
        <w:tblGridChange w:id="0">
          <w:tblGrid>
            <w:gridCol w:w="4740"/>
            <w:gridCol w:w="47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database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bl>
    <w:p w:rsidR="00000000" w:rsidDel="00000000" w:rsidP="00000000" w:rsidRDefault="00000000" w:rsidRPr="00000000" w14:paraId="0000010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ind w:left="0" w:firstLine="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IT infrastructure of Mann and Co. Microfinance LLC.</w:t>
      </w:r>
    </w:p>
    <w:p w:rsidR="00000000" w:rsidDel="00000000" w:rsidP="00000000" w:rsidRDefault="00000000" w:rsidRPr="00000000" w14:paraId="00000106">
      <w:pPr>
        <w:ind w:left="720"/>
        <w:jc w:val="both"/>
        <w:rPr>
          <w:rFonts w:ascii="Calibri" w:cs="Calibri" w:eastAsia="Calibri" w:hAnsi="Calibri"/>
          <w:b w:val="1"/>
          <w:color w:val="111111"/>
        </w:rPr>
      </w:pPr>
      <w:r w:rsidDel="00000000" w:rsidR="00000000" w:rsidRPr="00000000">
        <w:rPr>
          <w:rtl w:val="0"/>
        </w:rPr>
      </w:r>
    </w:p>
    <w:tbl>
      <w:tblPr>
        <w:tblStyle w:val="Table8"/>
        <w:tblW w:w="945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530"/>
        <w:gridCol w:w="1530"/>
        <w:gridCol w:w="6390"/>
        <w:tblGridChange w:id="0">
          <w:tblGrid>
            <w:gridCol w:w="1530"/>
            <w:gridCol w:w="1530"/>
            <w:gridCol w:w="63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owns a Facebook and Twitter account.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no website yet.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no recorded delays in network response and processing time. </w:t>
            </w:r>
          </w:p>
        </w:tc>
      </w:tr>
    </w:tbl>
    <w:p w:rsidR="00000000" w:rsidDel="00000000" w:rsidP="00000000" w:rsidRDefault="00000000" w:rsidRPr="00000000" w14:paraId="000001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1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considers the market trends and the past financial performance of similar companies in the preparation of its estimated financial statements. The financial assumptions are as follows:</w:t>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numPr>
          <w:ilvl w:val="0"/>
          <w:numId w:val="1"/>
        </w:numPr>
        <w:ind w:left="18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Tax compensation equals to 11.5% of the total compensation amount. </w:t>
      </w:r>
    </w:p>
    <w:p w:rsidR="00000000" w:rsidDel="00000000" w:rsidP="00000000" w:rsidRDefault="00000000" w:rsidRPr="00000000" w14:paraId="0000011C">
      <w:pPr>
        <w:numPr>
          <w:ilvl w:val="0"/>
          <w:numId w:val="1"/>
        </w:numPr>
        <w:ind w:left="18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expects an increase in sales from 15% to 20% in the next five years.  </w:t>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[MANN AND CO. MICROFINANCE LLC]</w:t>
      </w:r>
      <w:r w:rsidDel="00000000" w:rsidR="00000000" w:rsidRPr="00000000">
        <w:rPr>
          <w:rFonts w:ascii="Calibri" w:cs="Calibri" w:eastAsia="Calibri" w:hAnsi="Calibri"/>
          <w:color w:val="111111"/>
          <w:rtl w:val="0"/>
        </w:rPr>
        <w:t xml:space="preserve"> used equity financing to finance the business. The board members contributed a total of </w:t>
      </w:r>
      <w:r w:rsidDel="00000000" w:rsidR="00000000" w:rsidRPr="00000000">
        <w:rPr>
          <w:rFonts w:ascii="Calibri" w:cs="Calibri" w:eastAsia="Calibri" w:hAnsi="Calibri"/>
          <w:color w:val="111111"/>
          <w:highlight w:val="yellow"/>
          <w:rtl w:val="0"/>
        </w:rPr>
        <w:t xml:space="preserve">[150K USD]</w:t>
      </w:r>
      <w:r w:rsidDel="00000000" w:rsidR="00000000" w:rsidRPr="00000000">
        <w:rPr>
          <w:rFonts w:ascii="Calibri" w:cs="Calibri" w:eastAsia="Calibri" w:hAnsi="Calibri"/>
          <w:color w:val="111111"/>
          <w:rtl w:val="0"/>
        </w:rPr>
        <w:t xml:space="preserve"> to purchase stocks for the company and fund its initial operating expenses. </w:t>
      </w:r>
    </w:p>
    <w:p w:rsidR="00000000" w:rsidDel="00000000" w:rsidP="00000000" w:rsidRDefault="00000000" w:rsidRPr="00000000" w14:paraId="000001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2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530"/>
        <w:gridCol w:w="1530"/>
        <w:gridCol w:w="1530"/>
        <w:tblGridChange w:id="0">
          <w:tblGrid>
            <w:gridCol w:w="4770"/>
            <w:gridCol w:w="1530"/>
            <w:gridCol w:w="1530"/>
            <w:gridCol w:w="153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31.67%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31.39%</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$60,100.00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$186,900.00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$48,300.00</w:t>
            </w:r>
            <w:r w:rsidDel="00000000" w:rsidR="00000000" w:rsidRPr="00000000">
              <w:rPr>
                <w:rtl w:val="0"/>
              </w:rPr>
            </w:r>
          </w:p>
        </w:tc>
      </w:tr>
    </w:tbl>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bl>
      <w:tblPr>
        <w:tblStyle w:val="Table10"/>
        <w:tblW w:w="9359.999999999998"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20"/>
        <w:gridCol w:w="1713"/>
        <w:gridCol w:w="1713"/>
        <w:gridCol w:w="1714"/>
        <w:tblGridChange w:id="0">
          <w:tblGrid>
            <w:gridCol w:w="4220"/>
            <w:gridCol w:w="1713"/>
            <w:gridCol w:w="1713"/>
            <w:gridCol w:w="1714"/>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8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$45,875.00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$87,721.25</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$28,800.00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9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$25,375.00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$25,755.63</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A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$137,250.00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$184,276.88</w:t>
            </w:r>
            <w:r w:rsidDel="00000000" w:rsidR="00000000" w:rsidRPr="00000000">
              <w:rPr>
                <w:rtl w:val="0"/>
              </w:rPr>
            </w:r>
          </w:p>
        </w:tc>
      </w:tr>
      <w:tr>
        <w:trPr>
          <w:trHeight w:val="300" w:hRule="atLeast"/>
        </w:trPr>
        <w:tc>
          <w:tcPr>
            <w:gridSpan w:val="4"/>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600" w:hRule="atLeast"/>
        </w:trPr>
        <w:tc>
          <w:tcPr>
            <w:tcMar>
              <w:top w:w="40.0" w:type="dxa"/>
              <w:left w:w="40.0" w:type="dxa"/>
              <w:bottom w:w="40.0" w:type="dxa"/>
              <w:right w:w="40.0" w:type="dxa"/>
            </w:tcMar>
            <w:vAlign w:val="center"/>
          </w:tcPr>
          <w:p w:rsidR="00000000" w:rsidDel="00000000" w:rsidP="00000000" w:rsidRDefault="00000000" w:rsidRPr="00000000" w14:paraId="000001B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$69,550.00</w:t>
            </w:r>
          </w:p>
        </w:tc>
      </w:tr>
      <w:tr>
        <w:trPr>
          <w:trHeight w:val="600" w:hRule="atLeast"/>
        </w:trPr>
        <w:tc>
          <w:tcPr>
            <w:tcMar>
              <w:top w:w="40.0" w:type="dxa"/>
              <w:left w:w="40.0" w:type="dxa"/>
              <w:bottom w:w="40.0" w:type="dxa"/>
              <w:right w:w="40.0" w:type="dxa"/>
            </w:tcMar>
            <w:vAlign w:val="center"/>
          </w:tcPr>
          <w:p w:rsidR="00000000" w:rsidDel="00000000" w:rsidP="00000000" w:rsidRDefault="00000000" w:rsidRPr="00000000" w14:paraId="000001B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$206,950.00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$253,826.88</w:t>
            </w:r>
            <w:r w:rsidDel="00000000" w:rsidR="00000000" w:rsidRPr="00000000">
              <w:rPr>
                <w:rtl w:val="0"/>
              </w:rPr>
            </w:r>
          </w:p>
        </w:tc>
      </w:tr>
      <w:tr>
        <w:trPr>
          <w:trHeight w:val="300" w:hRule="atLeast"/>
        </w:trPr>
        <w:tc>
          <w:tcPr>
            <w:gridSpan w:val="4"/>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$1,653.75</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C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$11,153.75</w:t>
            </w:r>
            <w:r w:rsidDel="00000000" w:rsidR="00000000" w:rsidRPr="00000000">
              <w:rPr>
                <w:rtl w:val="0"/>
              </w:rPr>
            </w:r>
          </w:p>
        </w:tc>
      </w:tr>
      <w:tr>
        <w:trPr>
          <w:trHeight w:val="300" w:hRule="atLeast"/>
        </w:trPr>
        <w:tc>
          <w:tcPr>
            <w:gridSpan w:val="4"/>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$93,900.00</w:t>
            </w:r>
          </w:p>
        </w:tc>
      </w:tr>
      <w:tr>
        <w:trPr>
          <w:trHeight w:val="600" w:hRule="atLeast"/>
        </w:trPr>
        <w:tc>
          <w:tcPr>
            <w:tcMar>
              <w:top w:w="40.0" w:type="dxa"/>
              <w:left w:w="40.0" w:type="dxa"/>
              <w:bottom w:w="40.0" w:type="dxa"/>
              <w:right w:w="40.0" w:type="dxa"/>
            </w:tcMar>
            <w:vAlign w:val="center"/>
          </w:tcPr>
          <w:p w:rsidR="00000000" w:rsidDel="00000000" w:rsidP="00000000" w:rsidRDefault="00000000" w:rsidRPr="00000000" w14:paraId="000001D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$158,250.00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$194,875.00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$242,673.13</w:t>
            </w:r>
            <w:r w:rsidDel="00000000" w:rsidR="00000000" w:rsidRPr="00000000">
              <w:rPr>
                <w:rtl w:val="0"/>
              </w:rPr>
            </w:r>
          </w:p>
        </w:tc>
      </w:tr>
      <w:tr>
        <w:trPr>
          <w:trHeight w:val="600" w:hRule="atLeast"/>
        </w:trPr>
        <w:tc>
          <w:tcPr>
            <w:tcMar>
              <w:top w:w="40.0" w:type="dxa"/>
              <w:left w:w="40.0" w:type="dxa"/>
              <w:bottom w:w="40.0" w:type="dxa"/>
              <w:right w:w="40.0" w:type="dxa"/>
            </w:tcMar>
            <w:vAlign w:val="center"/>
          </w:tcPr>
          <w:p w:rsidR="00000000" w:rsidDel="00000000" w:rsidP="00000000" w:rsidRDefault="00000000" w:rsidRPr="00000000" w14:paraId="000001D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4.60%</w:t>
            </w:r>
            <w:r w:rsidDel="00000000" w:rsidR="00000000" w:rsidRPr="00000000">
              <w:rPr>
                <w:rtl w:val="0"/>
              </w:rPr>
            </w:r>
          </w:p>
        </w:tc>
      </w:tr>
    </w:tbl>
    <w:p w:rsidR="00000000" w:rsidDel="00000000" w:rsidP="00000000" w:rsidRDefault="00000000" w:rsidRPr="00000000" w14:paraId="000001E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2">
      <w:pPr>
        <w:rPr>
          <w:rFonts w:ascii="Calibri" w:cs="Calibri" w:eastAsia="Calibri" w:hAnsi="Calibri"/>
          <w:color w:val="111111"/>
        </w:rPr>
      </w:pPr>
      <w:r w:rsidDel="00000000" w:rsidR="00000000" w:rsidRPr="00000000">
        <w:rPr>
          <w:rtl w:val="0"/>
        </w:rPr>
      </w:r>
    </w:p>
    <w:tbl>
      <w:tblPr>
        <w:tblStyle w:val="Table11"/>
        <w:tblW w:w="9359.999999999998"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00"/>
        <w:gridCol w:w="1653"/>
        <w:gridCol w:w="1653"/>
        <w:gridCol w:w="1654"/>
        <w:tblGridChange w:id="0">
          <w:tblGrid>
            <w:gridCol w:w="4400"/>
            <w:gridCol w:w="1653"/>
            <w:gridCol w:w="1653"/>
            <w:gridCol w:w="1654"/>
          </w:tblGrid>
        </w:tblGridChange>
      </w:tblGrid>
      <w:tr>
        <w:trPr>
          <w:trHeight w:val="5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$45,875.00</w:t>
            </w:r>
          </w:p>
        </w:tc>
      </w:tr>
      <w:tr>
        <w:trPr>
          <w:trHeight w:val="4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$3,306.25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$105,975.00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$147,821.25</w:t>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$60,100.00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$45,875.00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$87,721.25</w:t>
            </w:r>
            <w:r w:rsidDel="00000000" w:rsidR="00000000" w:rsidRPr="00000000">
              <w:rPr>
                <w:rtl w:val="0"/>
              </w:rPr>
            </w:r>
          </w:p>
        </w:tc>
      </w:tr>
    </w:tbl>
    <w:p w:rsidR="00000000" w:rsidDel="00000000" w:rsidP="00000000" w:rsidRDefault="00000000" w:rsidRPr="00000000" w14:paraId="0000022B">
      <w:pPr>
        <w:rPr>
          <w:rFonts w:ascii="Calibri" w:cs="Calibri" w:eastAsia="Calibri" w:hAnsi="Calibri"/>
          <w:color w:val="111111"/>
        </w:rPr>
      </w:pPr>
      <w:r w:rsidDel="00000000" w:rsidR="00000000" w:rsidRPr="00000000">
        <w:rPr>
          <w:rtl w:val="0"/>
        </w:rPr>
      </w:r>
    </w:p>
    <w:sectPr>
      <w:footerReference r:id="rId9" w:type="default"/>
      <w:foot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393700</wp:posOffset>
              </wp:positionV>
              <wp:extent cx="2971800" cy="228600"/>
              <wp:effectExtent b="0" l="0" r="0" t="0"/>
              <wp:wrapNone/>
              <wp:docPr id="2" name=""/>
              <a:graphic>
                <a:graphicData uri="http://schemas.microsoft.com/office/word/2010/wordprocessingShape">
                  <wps:wsp>
                    <wps:cNvSpPr/>
                    <wps:cNvPr id="10" name="Shape 10"/>
                    <wps:spPr>
                      <a:xfrm>
                        <a:off x="3864863" y="3670463"/>
                        <a:ext cx="2962275" cy="219075"/>
                      </a:xfrm>
                      <a:prstGeom prst="rect">
                        <a:avLst/>
                      </a:prstGeom>
                      <a:solidFill>
                        <a:srgbClr val="4BAC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393700</wp:posOffset>
              </wp:positionV>
              <wp:extent cx="2971800" cy="2286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971800" cy="2286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