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-253999</wp:posOffset>
                </wp:positionV>
                <wp:extent cx="6686550" cy="7550863"/>
                <wp:effectExtent b="0" l="0" r="0" t="0"/>
                <wp:wrapNone/>
                <wp:docPr id="3" name=""/>
                <a:graphic>
                  <a:graphicData uri="http://schemas.microsoft.com/office/word/2010/wordprocessingGroup">
                    <wpg:wgp>
                      <wpg:cNvGrpSpPr/>
                      <wpg:grpSpPr>
                        <a:xfrm>
                          <a:off x="2002725" y="0"/>
                          <a:ext cx="6686550" cy="7550863"/>
                          <a:chOff x="2002725" y="0"/>
                          <a:chExt cx="6686550" cy="7560000"/>
                        </a:xfrm>
                      </wpg:grpSpPr>
                      <wpg:grpSp>
                        <wpg:cNvGrpSpPr/>
                        <wpg:grpSpPr>
                          <a:xfrm>
                            <a:off x="2002725" y="0"/>
                            <a:ext cx="6686550" cy="7560000"/>
                            <a:chOff x="0" y="0"/>
                            <a:chExt cx="6686550" cy="8743950"/>
                          </a:xfrm>
                        </wpg:grpSpPr>
                        <wps:wsp>
                          <wps:cNvSpPr/>
                          <wps:cNvPr id="4" name="Shape 4"/>
                          <wps:spPr>
                            <a:xfrm>
                              <a:off x="0" y="0"/>
                              <a:ext cx="6686550" cy="874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14400" y="0"/>
                              <a:ext cx="5772150" cy="8743950"/>
                              <a:chOff x="0" y="0"/>
                              <a:chExt cx="5772150" cy="8743950"/>
                            </a:xfrm>
                          </wpg:grpSpPr>
                          <wps:wsp>
                            <wps:cNvSpPr/>
                            <wps:cNvPr id="23" name="Shape 23"/>
                            <wps:spPr>
                              <a:xfrm>
                                <a:off x="0" y="0"/>
                                <a:ext cx="5772150" cy="87439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562100" y="1295400"/>
                                <a:ext cx="2638425" cy="25717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LOGO]</w:t>
                                  </w:r>
                                </w:p>
                              </w:txbxContent>
                            </wps:txbx>
                            <wps:bodyPr anchorCtr="0" anchor="t" bIns="45700" lIns="91425" spcFirstLastPara="1" rIns="91425" wrap="square" tIns="45700">
                              <a:noAutofit/>
                            </wps:bodyPr>
                          </wps:wsp>
                        </wpg:grpSp>
                        <wpg:grpSp>
                          <wpg:cNvGrpSpPr/>
                          <wpg:grpSpPr>
                            <a:xfrm>
                              <a:off x="0" y="3190875"/>
                              <a:ext cx="5181600" cy="5066567"/>
                              <a:chOff x="0" y="0"/>
                              <a:chExt cx="5181600" cy="5066567"/>
                            </a:xfrm>
                          </wpg:grpSpPr>
                          <wps:wsp>
                            <wps:cNvSpPr/>
                            <wps:cNvPr id="26" name="Shape 26"/>
                            <wps:spPr>
                              <a:xfrm>
                                <a:off x="0" y="28575"/>
                                <a:ext cx="5181600" cy="5037992"/>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5181600" cy="238125"/>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81050" y="838200"/>
                                <a:ext cx="3200400" cy="3975898"/>
                                <a:chOff x="0" y="0"/>
                                <a:chExt cx="3200400" cy="3975898"/>
                              </a:xfrm>
                            </wpg:grpSpPr>
                            <wps:wsp>
                              <wps:cNvSpPr/>
                              <wps:cNvPr id="29" name="Shape 29"/>
                              <wps:spPr>
                                <a:xfrm>
                                  <a:off x="0" y="2666998"/>
                                  <a:ext cx="3200400" cy="130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1849b"/>
                                        <w:sz w:val="70"/>
                                        <w:vertAlign w:val="baseline"/>
                                      </w:rPr>
                                      <w:t xml:space="preserve">LOAN OFFICER BUSINESS PLAN</w:t>
                                    </w:r>
                                  </w:p>
                                </w:txbxContent>
                              </wps:txbx>
                              <wps:bodyPr anchorCtr="0" anchor="t" bIns="45700" lIns="91425" spcFirstLastPara="1" rIns="91425" wrap="square" tIns="45700">
                                <a:noAutofit/>
                              </wps:bodyPr>
                            </wps:wsp>
                            <wps:wsp>
                              <wps:cNvSpPr/>
                              <wps:cNvPr id="30" name="Shape 30"/>
                              <wps:spPr>
                                <a:xfrm>
                                  <a:off x="28575" y="0"/>
                                  <a:ext cx="2638425" cy="7524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31" name="Shape 31"/>
                              <wps:spPr>
                                <a:xfrm>
                                  <a:off x="28575" y="971550"/>
                                  <a:ext cx="2638425" cy="154305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[Christie T. Goode]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[ct.goode@rhyta.com]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[609-712-8225]</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[www.goodeloans.com]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[3656 Watson Street]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[Camden, NJ 08102]</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-253999</wp:posOffset>
                </wp:positionV>
                <wp:extent cx="6686550" cy="7550863"/>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686550" cy="755086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is a start-up service firm based in </w:t>
      </w:r>
      <w:r w:rsidDel="00000000" w:rsidR="00000000" w:rsidRPr="00000000">
        <w:rPr>
          <w:rFonts w:ascii="Calibri" w:cs="Calibri" w:eastAsia="Calibri" w:hAnsi="Calibri"/>
          <w:color w:val="111111"/>
          <w:highlight w:val="yellow"/>
          <w:rtl w:val="0"/>
        </w:rPr>
        <w:t xml:space="preserve">[Camden NJ]</w:t>
      </w:r>
      <w:r w:rsidDel="00000000" w:rsidR="00000000" w:rsidRPr="00000000">
        <w:rPr>
          <w:rFonts w:ascii="Calibri" w:cs="Calibri" w:eastAsia="Calibri" w:hAnsi="Calibri"/>
          <w:color w:val="111111"/>
          <w:rtl w:val="0"/>
        </w:rPr>
        <w:t xml:space="preserve"> that acts as an intermediary between small and medium-sized banks and potential borrowers. The firm analyzes financial records and statistical information to measure the potential borrower’s risks and capacity to repay the full amount within a specific period. The firm is also in charge of determining the interest rate of a loan.</w:t>
      </w:r>
    </w:p>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provide professional and reliable loan intermediary services to small and medium-sized banks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believes that the keys to the firm’s success are when:</w:t>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numPr>
          <w:ilvl w:val="0"/>
          <w:numId w:val="6"/>
        </w:numPr>
        <w:ind w:left="135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demonstrates integrity in all aspects of the business at all times.</w:t>
      </w:r>
    </w:p>
    <w:p w:rsidR="00000000" w:rsidDel="00000000" w:rsidP="00000000" w:rsidRDefault="00000000" w:rsidRPr="00000000" w14:paraId="0000002A">
      <w:pPr>
        <w:numPr>
          <w:ilvl w:val="0"/>
          <w:numId w:val="6"/>
        </w:numPr>
        <w:ind w:left="135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develops a solid identity, establishing long-term relationships with the banks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become the leading loan officer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number of loan applications has soared over the past decade because of the rising level of consumer confidence. The recent favorable economic conditions and low interest rates have fueled the people of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 to purchase houses and cars through loans, therefore increasing the demand for loan officers in the next few years.</w:t>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Services Industry</w:t>
      </w:r>
    </w:p>
    <w:p w:rsidR="00000000" w:rsidDel="00000000" w:rsidP="00000000" w:rsidRDefault="00000000" w:rsidRPr="00000000" w14:paraId="000000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[Christie T. Goode]</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for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highlight w:val="yellow"/>
          <w:rtl w:val="0"/>
        </w:rPr>
        <w:t xml:space="preserve">[$51,200.95]</w:t>
      </w:r>
      <w:r w:rsidDel="00000000" w:rsidR="00000000" w:rsidRPr="00000000">
        <w:rPr>
          <w:rFonts w:ascii="Calibri" w:cs="Calibri" w:eastAsia="Calibri" w:hAnsi="Calibri"/>
          <w:color w:val="111111"/>
          <w:rtl w:val="0"/>
        </w:rPr>
        <w:t xml:space="preserve">, which will be fully provided by the owner, </w:t>
      </w:r>
      <w:r w:rsidDel="00000000" w:rsidR="00000000" w:rsidRPr="00000000">
        <w:rPr>
          <w:rFonts w:ascii="Calibri" w:cs="Calibri" w:eastAsia="Calibri" w:hAnsi="Calibri"/>
          <w:color w:val="111111"/>
          <w:highlight w:val="yellow"/>
          <w:rtl w:val="0"/>
        </w:rPr>
        <w:t xml:space="preserve">[Christie T. Goode]</w:t>
      </w:r>
      <w:r w:rsidDel="00000000" w:rsidR="00000000" w:rsidRPr="00000000">
        <w:rPr>
          <w:rFonts w:ascii="Calibri" w:cs="Calibri" w:eastAsia="Calibri" w:hAnsi="Calibri"/>
          <w:color w:val="111111"/>
          <w:rtl w:val="0"/>
        </w:rPr>
        <w:t xml:space="preserve">. The amount that will be invested in the firm will be used for operating expenses, advertising, and insurance.</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tbl>
      <w:tblPr>
        <w:tblStyle w:val="Table2"/>
        <w:tblW w:w="932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33"/>
        <w:gridCol w:w="4787"/>
        <w:tblGridChange w:id="0">
          <w:tblGrid>
            <w:gridCol w:w="4533"/>
            <w:gridCol w:w="4787"/>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$ 9,481.93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$ 41,719.02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$ 51,200.95</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$ 34,545.86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$ 5,918.50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$ 1,254.66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$ 41,719.02</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$ 51,200.95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$ 51,200.95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$ 9,481.93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$ 41,719.02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$ 41,719.02</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$ 2,401.75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$ 478.41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$ 3,225.58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$ 2,568.16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$ 808.03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$ 9,481.93</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$ 7,173.16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$ 5,851.93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$ 10,825.27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$ 17,868.66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$ 41,719.02</w:t>
            </w:r>
            <w:r w:rsidDel="00000000" w:rsidR="00000000" w:rsidRPr="00000000">
              <w:rPr>
                <w:rtl w:val="0"/>
              </w:rPr>
            </w:r>
          </w:p>
        </w:tc>
      </w:tr>
      <w:tr>
        <w:trPr>
          <w:trHeight w:val="9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$ 51,200.95</w:t>
            </w:r>
            <w:r w:rsidDel="00000000" w:rsidR="00000000" w:rsidRPr="00000000">
              <w:rPr>
                <w:rtl w:val="0"/>
              </w:rPr>
            </w:r>
          </w:p>
        </w:tc>
      </w:tr>
    </w:tbl>
    <w:p w:rsidR="00000000" w:rsidDel="00000000" w:rsidP="00000000" w:rsidRDefault="00000000" w:rsidRPr="00000000" w14:paraId="0000008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tl w:val="0"/>
        </w:rPr>
      </w:r>
    </w:p>
    <w:tbl>
      <w:tblPr>
        <w:tblStyle w:val="Table3"/>
        <w:tblW w:w="9321.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90"/>
        <w:gridCol w:w="2700"/>
        <w:gridCol w:w="4631"/>
        <w:tblGridChange w:id="0">
          <w:tblGrid>
            <w:gridCol w:w="1990"/>
            <w:gridCol w:w="2700"/>
            <w:gridCol w:w="4631"/>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Sherry J. Kennedy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Head Loan Officer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Interpersonal, Sales, Counseling, and Evaluating</w:t>
            </w:r>
          </w:p>
        </w:tc>
      </w:tr>
      <w:tr>
        <w:trPr>
          <w:trHeight w:val="10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Joan E. Ferrer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and Human Resources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Time Management, Problem-solving, Performance Management, and Project Management</w:t>
            </w:r>
          </w:p>
        </w:tc>
      </w:tr>
    </w:tbl>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tbl>
      <w:tblPr>
        <w:tblStyle w:val="Table4"/>
        <w:tblW w:w="9319.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760"/>
        <w:gridCol w:w="3559"/>
        <w:tblGridChange w:id="0">
          <w:tblGrid>
            <w:gridCol w:w="5760"/>
            <w:gridCol w:w="3559"/>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feasibility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January 22, 2019</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competent loan officers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February 13, 2019</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business relationship with the banks of New Jersey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Expected in April 2019</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Reach a monthly net profit of $9,000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Expected in June 2019</w:t>
            </w:r>
          </w:p>
        </w:tc>
      </w:tr>
    </w:tbl>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will act as an intermediary between a client and a potential borrower, analyzing complex data before recommending a loan application for bank approval. The firm will focus on providing its services to the small and medium-sized banks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will handle these services for its clients:</w:t>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numPr>
          <w:ilvl w:val="0"/>
          <w:numId w:val="5"/>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Evaluate all risk factors</w:t>
      </w:r>
    </w:p>
    <w:p w:rsidR="00000000" w:rsidDel="00000000" w:rsidP="00000000" w:rsidRDefault="00000000" w:rsidRPr="00000000" w14:paraId="000000B2">
      <w:pPr>
        <w:numPr>
          <w:ilvl w:val="0"/>
          <w:numId w:val="5"/>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Authorize loan applications</w:t>
      </w:r>
    </w:p>
    <w:p w:rsidR="00000000" w:rsidDel="00000000" w:rsidP="00000000" w:rsidRDefault="00000000" w:rsidRPr="00000000" w14:paraId="000000B3">
      <w:pPr>
        <w:numPr>
          <w:ilvl w:val="0"/>
          <w:numId w:val="5"/>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reasonable recommendations</w:t>
      </w:r>
    </w:p>
    <w:p w:rsidR="00000000" w:rsidDel="00000000" w:rsidP="00000000" w:rsidRDefault="00000000" w:rsidRPr="00000000" w14:paraId="000000B4">
      <w:pPr>
        <w:numPr>
          <w:ilvl w:val="0"/>
          <w:numId w:val="5"/>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Advise clients regarding loan application terms</w:t>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[Christie T. Goode]</w:t>
      </w:r>
      <w:r w:rsidDel="00000000" w:rsidR="00000000" w:rsidRPr="00000000">
        <w:rPr>
          <w:rFonts w:ascii="Calibri" w:cs="Calibri" w:eastAsia="Calibri" w:hAnsi="Calibri"/>
          <w:color w:val="111111"/>
          <w:rtl w:val="0"/>
        </w:rPr>
        <w:t xml:space="preserve"> is a hands-on owner who ensures complete service to all clients. She oversees all cases and personally advises the clients and the potential borrowers, improving the chances of both parties to ink a successful transaction. This way, the firm is able to influence and help build a better community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is a community-oriented firm, but it also intends to maximize profits whenever possible. Thus, the firm will charge its clients with flat fees on top of commissions. This allows the clients to better predict service charges, ensuring transparency in each case handled.</w:t>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Formula:</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(Expenses/Net Sales)</w:t>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 ($82,282.28/$102,276.52)</w:t>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1-0.8045</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0.1955 or 19.55%</w:t>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plans on gaining market shares by targeting small and medium-sized banks within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 The firm emphasizes networking with bank officials in hopes of potentially working for them. Also, the firm will engage in word-of-mouth marketing by encouraging satisfied clients to spread the company’s services to the community.</w:t>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 as residents and local businesses begin to recover from the last recession, they also begin to desire in acquiring new properties and vehicles. This trend leads to an increasing number of loan applications, prompting banks to continue to seek the services of a loan officer. That said, a steady rise in the demand for loan officers should be expected in the next decade.</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tbl>
      <w:tblPr>
        <w:tblStyle w:val="Table5"/>
        <w:tblW w:w="936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99"/>
        <w:gridCol w:w="1800"/>
        <w:gridCol w:w="1427"/>
        <w:gridCol w:w="2173"/>
        <w:gridCol w:w="2161"/>
        <w:tblGridChange w:id="0">
          <w:tblGrid>
            <w:gridCol w:w="1799"/>
            <w:gridCol w:w="1800"/>
            <w:gridCol w:w="1427"/>
            <w:gridCol w:w="2173"/>
            <w:gridCol w:w="2161"/>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TGL Loan Officer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53"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Hands-on owner</w:t>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53"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flat fees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Lacks the financial capacity to compete with established credit evaluators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1"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increasing number of applications for house and car loans</w:t>
            </w:r>
          </w:p>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1"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businesses that need extra cash to meet their monthly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3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Unfavorable government policies</w:t>
            </w:r>
          </w:p>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3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 Cue Loans Inc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World-class brand</w:t>
            </w:r>
          </w:p>
          <w:p w:rsidR="00000000" w:rsidDel="00000000" w:rsidP="00000000" w:rsidRDefault="00000000" w:rsidRPr="00000000" w14:paraId="000000D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wide range of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Expensive flat fees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Clients always recognize world-class brands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offer high-quality services at an affordable price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 Ingles Loan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the financial backing of the Bank of New Jersey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Strict regulations that lead to more case rejections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clients that need major financial aids (e.g. corporates and local banks)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can better accommodate the masses</w:t>
            </w:r>
          </w:p>
        </w:tc>
      </w:tr>
    </w:tbl>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ensures excellent handling of each client’s case, leveraging on word-of-mouth advertising from satisfied clients. The firm will also actively reach out to individuals and entrepreneurs who are in need and are qualified to avail the firm’s services.</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tbl>
      <w:tblPr>
        <w:tblStyle w:val="Table6"/>
        <w:tblW w:w="9386.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77"/>
        <w:gridCol w:w="2340"/>
        <w:gridCol w:w="1710"/>
        <w:gridCol w:w="3359"/>
        <w:tblGridChange w:id="0">
          <w:tblGrid>
            <w:gridCol w:w="1977"/>
            <w:gridCol w:w="2340"/>
            <w:gridCol w:w="1710"/>
            <w:gridCol w:w="3359"/>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Hand out brochures to the public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to April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at least, ten clients every week.</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clients to spread the firm’s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Indefinite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at least, twenty-five referrals every month.</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Join local chambers of commerce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 to September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Form, at least, four established business relationships in every event.</w:t>
            </w:r>
          </w:p>
        </w:tc>
      </w:tr>
    </w:tbl>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ind w:left="720"/>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229225" cy="2505075"/>
                <wp:effectExtent b="0" l="0" r="0" t="0"/>
                <wp:docPr id="2" name=""/>
                <a:graphic>
                  <a:graphicData uri="http://schemas.microsoft.com/office/word/2010/wordprocessingGroup">
                    <wpg:wgp>
                      <wpg:cNvGrpSpPr/>
                      <wpg:grpSpPr>
                        <a:xfrm>
                          <a:off x="2731388" y="2527463"/>
                          <a:ext cx="5229225" cy="2505075"/>
                          <a:chOff x="2731388" y="2527463"/>
                          <a:chExt cx="5229225" cy="2505075"/>
                        </a:xfrm>
                      </wpg:grpSpPr>
                      <wpg:grpSp>
                        <wpg:cNvGrpSpPr/>
                        <wpg:grpSpPr>
                          <a:xfrm>
                            <a:off x="2731388" y="2527463"/>
                            <a:ext cx="5229225" cy="2505075"/>
                            <a:chOff x="440025" y="449800"/>
                            <a:chExt cx="5551300" cy="1733400"/>
                          </a:xfrm>
                        </wpg:grpSpPr>
                        <wps:wsp>
                          <wps:cNvSpPr/>
                          <wps:cNvPr id="4" name="Shape 4"/>
                          <wps:spPr>
                            <a:xfrm>
                              <a:off x="440025" y="449800"/>
                              <a:ext cx="5551300" cy="17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50775" y="449800"/>
                              <a:ext cx="13446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6" name="Shape 6"/>
                          <wps:spPr>
                            <a:xfrm>
                              <a:off x="1029175" y="10783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7" name="Shape 7"/>
                          <wps:spPr>
                            <a:xfrm>
                              <a:off x="3295375" y="1078300"/>
                              <a:ext cx="13971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8" name="Shape 8"/>
                          <wps:spPr>
                            <a:xfrm>
                              <a:off x="4400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SERVICE</w:t>
                                </w:r>
                              </w:p>
                            </w:txbxContent>
                          </wps:txbx>
                          <wps:bodyPr anchorCtr="0" anchor="ctr" bIns="91425" lIns="91425" spcFirstLastPara="1" rIns="91425" wrap="square" tIns="91425">
                            <a:noAutofit/>
                          </wps:bodyPr>
                        </wps:wsp>
                        <wps:wsp>
                          <wps:cNvSpPr/>
                          <wps:cNvPr id="9" name="Shape 9"/>
                          <wps:spPr>
                            <a:xfrm>
                              <a:off x="2664591" y="1764100"/>
                              <a:ext cx="1008435"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SpPr/>
                          <wps:cNvPr id="10" name="Shape 10"/>
                          <wps:spPr>
                            <a:xfrm>
                              <a:off x="15957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FACILITIES MANAGER</w:t>
                                </w:r>
                              </w:p>
                            </w:txbxContent>
                          </wps:txbx>
                          <wps:bodyPr anchorCtr="0" anchor="ctr" bIns="91425" lIns="91425" spcFirstLastPara="1" rIns="91425" wrap="square" tIns="91425">
                            <a:noAutofit/>
                          </wps:bodyPr>
                        </wps:wsp>
                        <wps:wsp>
                          <wps:cNvSpPr/>
                          <wps:cNvPr id="11" name="Shape 11"/>
                          <wps:spPr>
                            <a:xfrm>
                              <a:off x="50697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w:t>
                                </w:r>
                              </w:p>
                            </w:txbxContent>
                          </wps:txbx>
                          <wps:bodyPr anchorCtr="0" anchor="ctr" bIns="91425" lIns="91425" spcFirstLastPara="1" rIns="91425" wrap="square" tIns="91425">
                            <a:noAutofit/>
                          </wps:bodyPr>
                        </wps:wsp>
                        <wps:wsp>
                          <wps:cNvSpPr/>
                          <wps:cNvPr id="12" name="Shape 12"/>
                          <wps:spPr>
                            <a:xfrm>
                              <a:off x="39071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11600"/>
                              <a:ext cx="11331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11600"/>
                              <a:ext cx="13710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212125" y="1497400"/>
                              <a:ext cx="7818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229225" cy="2505075"/>
                <wp:effectExtent b="0" l="0" r="0" 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229225" cy="2505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a sketch or blueprint of the facility.</w:t>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photos or images of the location/facility.</w:t>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06">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bl>
    <w:p w:rsidR="00000000" w:rsidDel="00000000" w:rsidP="00000000" w:rsidRDefault="00000000" w:rsidRPr="00000000" w14:paraId="000001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current status or condition of the IT infrastructure of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tbl>
      <w:tblPr>
        <w:tblStyle w:val="Table8"/>
        <w:tblW w:w="9336.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79"/>
        <w:gridCol w:w="2160"/>
        <w:gridCol w:w="4597"/>
        <w:tblGridChange w:id="0">
          <w:tblGrid>
            <w:gridCol w:w="2579"/>
            <w:gridCol w:w="2160"/>
            <w:gridCol w:w="4597"/>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Risk Evaluation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installed @RISK.</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installed QuickBooks.</w:t>
            </w:r>
          </w:p>
        </w:tc>
      </w:tr>
    </w:tbl>
    <w:p w:rsidR="00000000" w:rsidDel="00000000" w:rsidP="00000000" w:rsidRDefault="00000000" w:rsidRPr="00000000" w14:paraId="000001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basic assumptions for </w:t>
      </w: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are as follows:</w:t>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firm’s monthly expenses will vary, depending on a wide range of factors such as government policies and operating expenses.</w:t>
      </w:r>
    </w:p>
    <w:p w:rsidR="00000000" w:rsidDel="00000000" w:rsidP="00000000" w:rsidRDefault="00000000" w:rsidRPr="00000000" w14:paraId="0000012B">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first fiscal year, the firm will not experience massive profits since it has to build yet its reputation. The firm’s monthly revenue trajectory is only expected to go up in the second year after it gains a solid market base.</w:t>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Revenues</w:t>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[TGL Loan Officer]</w:t>
      </w:r>
      <w:r w:rsidDel="00000000" w:rsidR="00000000" w:rsidRPr="00000000">
        <w:rPr>
          <w:rFonts w:ascii="Calibri" w:cs="Calibri" w:eastAsia="Calibri" w:hAnsi="Calibri"/>
          <w:color w:val="111111"/>
          <w:rtl w:val="0"/>
        </w:rPr>
        <w:t xml:space="preserve"> is owned and managed by </w:t>
      </w:r>
      <w:r w:rsidDel="00000000" w:rsidR="00000000" w:rsidRPr="00000000">
        <w:rPr>
          <w:rFonts w:ascii="Calibri" w:cs="Calibri" w:eastAsia="Calibri" w:hAnsi="Calibri"/>
          <w:color w:val="111111"/>
          <w:highlight w:val="yellow"/>
          <w:rtl w:val="0"/>
        </w:rPr>
        <w:t xml:space="preserve">[Christie T. Goode]</w:t>
      </w:r>
      <w:r w:rsidDel="00000000" w:rsidR="00000000" w:rsidRPr="00000000">
        <w:rPr>
          <w:rFonts w:ascii="Calibri" w:cs="Calibri" w:eastAsia="Calibri" w:hAnsi="Calibri"/>
          <w:color w:val="111111"/>
          <w:rtl w:val="0"/>
        </w:rPr>
        <w:t xml:space="preserve">. She is the only financier of the firm, but she welcomes potential business partners.</w:t>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tbl>
      <w:tblPr>
        <w:tblStyle w:val="Table9"/>
        <w:tblW w:w="9377.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27"/>
        <w:gridCol w:w="1750"/>
        <w:gridCol w:w="1750"/>
        <w:gridCol w:w="1750"/>
        <w:tblGridChange w:id="0">
          <w:tblGrid>
            <w:gridCol w:w="4127"/>
            <w:gridCol w:w="1750"/>
            <w:gridCol w:w="1750"/>
            <w:gridCol w:w="1750"/>
          </w:tblGrid>
        </w:tblGridChange>
      </w:tblGrid>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$ 260,333.09</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$ 360,075.66</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$ 702,050.26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$ 31,333.08</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$ 35,860.11</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$ 37,164.36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$ 31,333.08</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$ 35,860.11</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$ 37,164.36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$ 229,000.01</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$ 324,215.55</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$ 664,885.90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87.96%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94.71%</w:t>
            </w:r>
            <w:r w:rsidDel="00000000" w:rsidR="00000000" w:rsidRPr="00000000">
              <w:rPr>
                <w:rtl w:val="0"/>
              </w:rPr>
            </w:r>
          </w:p>
        </w:tc>
      </w:tr>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$ 30,817.92</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$ 32,339.51</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$ 36,766.32</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$ 3,272.16</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$ 3,474.30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$ 3,919.98</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$ 161,228.64</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$ 167,358.08</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$ 252,794.21</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$ 6,581.28</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$ 8,737.69</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$ 10,773.20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$ 201,900.00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$ 211,909.58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$ 304,253.71</w:t>
            </w:r>
            <w:r w:rsidDel="00000000" w:rsidR="00000000" w:rsidRPr="00000000">
              <w:rPr>
                <w:rtl w:val="0"/>
              </w:rPr>
            </w:r>
          </w:p>
        </w:tc>
      </w:tr>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$ 27,100.01</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$ 112,305.97</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$ 360,632.19</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$ 17,369.25</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$ 19,769.84</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$ 26,266.53</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$ 9,730.76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$ 92,536.13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$ 334,365.66</w:t>
            </w:r>
            <w:r w:rsidDel="00000000" w:rsidR="00000000" w:rsidRPr="00000000">
              <w:rPr>
                <w:rtl w:val="0"/>
              </w:rPr>
            </w:r>
          </w:p>
        </w:tc>
      </w:tr>
    </w:tbl>
    <w:p w:rsidR="00000000" w:rsidDel="00000000" w:rsidP="00000000" w:rsidRDefault="00000000" w:rsidRPr="00000000" w14:paraId="0000019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b w:val="1"/>
          <w:color w:val="111111"/>
        </w:rPr>
      </w:pPr>
      <w:r w:rsidDel="00000000" w:rsidR="00000000" w:rsidRPr="00000000">
        <w:rPr>
          <w:rtl w:val="0"/>
        </w:rPr>
      </w:r>
    </w:p>
    <w:tbl>
      <w:tblPr>
        <w:tblStyle w:val="Table10"/>
        <w:tblW w:w="9299.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39"/>
        <w:gridCol w:w="1620"/>
        <w:gridCol w:w="1620"/>
        <w:gridCol w:w="1620"/>
        <w:tblGridChange w:id="0">
          <w:tblGrid>
            <w:gridCol w:w="4439"/>
            <w:gridCol w:w="1620"/>
            <w:gridCol w:w="1620"/>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$ 139,011.30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$ 160,330.47</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$ 209,869.38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$ 54,866.11</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$ 59,553.13</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$ 80,951.11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$ 7,937.36</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$ 11,118.13</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$ 13,661.45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$ 13,239.04</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$ 17,132.51</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$ 19,802.28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$ 215,053.81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$ 248,134.24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$ 324,284.22</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$ 19,385.08</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$ 22,065.84</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$ 25,705.98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$ 2,520.06</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$ 2,868.56</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$ 3,341.78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$ 16,865.02</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$ 19,197.28</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$ 22,364.20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$ 231,918.83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$ 267,331.52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$ 346,648.42</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$ 10,185.68</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$ 11,588.87</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$ 13,698.91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$ 5,094.47</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$ 5,265.45</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$ 5,482.63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$ 15,280.15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$ 16,854.32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$ 19,181.54</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$ 51,200.95</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$ 55,367.43</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$ 62,628.55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$ 252,310.50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$ 620,360.18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$ 1,308,977.22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$ 216,638.68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$ 250,477.20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$ 327,466.88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5.86%</w:t>
            </w:r>
            <w:r w:rsidDel="00000000" w:rsidR="00000000" w:rsidRPr="00000000">
              <w:rPr>
                <w:rtl w:val="0"/>
              </w:rPr>
            </w:r>
          </w:p>
        </w:tc>
      </w:tr>
    </w:tbl>
    <w:p w:rsidR="00000000" w:rsidDel="00000000" w:rsidP="00000000" w:rsidRDefault="00000000" w:rsidRPr="00000000" w14:paraId="000001F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2">
      <w:pPr>
        <w:rPr>
          <w:rFonts w:ascii="Calibri" w:cs="Calibri" w:eastAsia="Calibri" w:hAnsi="Calibri"/>
          <w:color w:val="111111"/>
        </w:rPr>
      </w:pPr>
      <w:r w:rsidDel="00000000" w:rsidR="00000000" w:rsidRPr="00000000">
        <w:rPr>
          <w:rtl w:val="0"/>
        </w:rPr>
      </w:r>
    </w:p>
    <w:tbl>
      <w:tblPr>
        <w:tblStyle w:val="Table11"/>
        <w:tblW w:w="9408.000000000002"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247"/>
        <w:gridCol w:w="1387"/>
        <w:gridCol w:w="1387"/>
        <w:gridCol w:w="1387"/>
        <w:tblGridChange w:id="0">
          <w:tblGrid>
            <w:gridCol w:w="5247"/>
            <w:gridCol w:w="1387"/>
            <w:gridCol w:w="1387"/>
            <w:gridCol w:w="1387"/>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$ 139,011.30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$ 160,330.47</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$ 209,869.38</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$ 54,866.11</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$ 59,553.13</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$ 80,951.11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$ 260,333.09</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$ 360,075.66</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$ 702,050.26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$ 454,210.50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$ 579,959.26</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$ 992,870.75</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$ 30,817.92</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$ 32,339.51</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$ 36,766.32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$ 3,272.16</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$ 3,474.30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$ 3,919.98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$ 161,228.64</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$ 167,358.08</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$ 252,794.21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$ 6,581.28</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$ 8,737.69</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$ 10,773.20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$ 201,900.00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$ 211,909.58</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$ 304,253.71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$ 252,310.50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$ 368,049.68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$ 688,617.04</w:t>
            </w:r>
            <w:r w:rsidDel="00000000" w:rsidR="00000000" w:rsidRPr="00000000">
              <w:rPr>
                <w:rtl w:val="0"/>
              </w:rPr>
            </w:r>
          </w:p>
        </w:tc>
      </w:tr>
    </w:tbl>
    <w:p w:rsidR="00000000" w:rsidDel="00000000" w:rsidP="00000000" w:rsidRDefault="00000000" w:rsidRPr="00000000" w14:paraId="0000023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C">
      <w:pPr>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381000</wp:posOffset>
              </wp:positionV>
              <wp:extent cx="5191125" cy="247650"/>
              <wp:effectExtent b="0" l="0" r="0" t="0"/>
              <wp:wrapNone/>
              <wp:docPr id="1" name=""/>
              <a:graphic>
                <a:graphicData uri="http://schemas.microsoft.com/office/word/2010/wordprocessingShape">
                  <wps:wsp>
                    <wps:cNvSpPr/>
                    <wps:cNvPr id="2" name="Shape 2"/>
                    <wps:spPr>
                      <a:xfrm>
                        <a:off x="2755200" y="3660938"/>
                        <a:ext cx="5181600" cy="238125"/>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381000</wp:posOffset>
              </wp:positionV>
              <wp:extent cx="5191125" cy="24765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191125" cy="2476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