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571500</wp:posOffset>
                </wp:positionV>
                <wp:extent cx="5810250" cy="8172450"/>
                <wp:effectExtent b="0" l="0" r="0" t="0"/>
                <wp:wrapNone/>
                <wp:docPr id="6" name=""/>
                <a:graphic>
                  <a:graphicData uri="http://schemas.microsoft.com/office/word/2010/wordprocessingGroup">
                    <wpg:wgp>
                      <wpg:cNvGrpSpPr/>
                      <wpg:grpSpPr>
                        <a:xfrm>
                          <a:off x="2440875" y="0"/>
                          <a:ext cx="5810250" cy="8172450"/>
                          <a:chOff x="2440875" y="0"/>
                          <a:chExt cx="5810250" cy="7560000"/>
                        </a:xfrm>
                      </wpg:grpSpPr>
                      <wpg:grpSp>
                        <wpg:cNvGrpSpPr/>
                        <wpg:grpSpPr>
                          <a:xfrm>
                            <a:off x="2440875" y="0"/>
                            <a:ext cx="5810250" cy="7560000"/>
                            <a:chOff x="0" y="0"/>
                            <a:chExt cx="5810250" cy="8172450"/>
                          </a:xfrm>
                        </wpg:grpSpPr>
                        <wps:wsp>
                          <wps:cNvSpPr/>
                          <wps:cNvPr id="4" name="Shape 4"/>
                          <wps:spPr>
                            <a:xfrm>
                              <a:off x="0" y="0"/>
                              <a:ext cx="5810250" cy="817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10250" cy="8172450"/>
                              <a:chOff x="0" y="0"/>
                              <a:chExt cx="5810250" cy="8172450"/>
                            </a:xfrm>
                          </wpg:grpSpPr>
                          <wps:wsp>
                            <wps:cNvSpPr/>
                            <wps:cNvPr id="26" name="Shape 26"/>
                            <wps:spPr>
                              <a:xfrm>
                                <a:off x="0" y="1257300"/>
                                <a:ext cx="4933950" cy="6915150"/>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23900" y="0"/>
                                <a:ext cx="5086350" cy="8261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76"/>
                                      <w:vertAlign w:val="baseline"/>
                                    </w:rPr>
                                    <w:t xml:space="preserve">FISHING BUSINESS PLAN</w:t>
                                  </w:r>
                                </w:p>
                              </w:txbxContent>
                            </wps:txbx>
                            <wps:bodyPr anchorCtr="0" anchor="t" bIns="45700" lIns="91425" spcFirstLastPara="1" rIns="91425" wrap="square" tIns="45700">
                              <a:noAutofit/>
                            </wps:bodyPr>
                          </wps:wsp>
                          <wps:wsp>
                            <wps:cNvSpPr/>
                            <wps:cNvPr id="28" name="Shape 28"/>
                            <wps:spPr>
                              <a:xfrm>
                                <a:off x="723900" y="1866900"/>
                                <a:ext cx="3619500" cy="54129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Business Plan For Fiscal Year 2019</w:t>
                                  </w:r>
                                </w:p>
                              </w:txbxContent>
                            </wps:txbx>
                            <wps:bodyPr anchorCtr="0" anchor="t" bIns="45700" lIns="91425" spcFirstLastPara="1" rIns="91425" wrap="square" tIns="45700">
                              <a:noAutofit/>
                            </wps:bodyPr>
                          </wps:wsp>
                          <wps:wsp>
                            <wps:cNvSpPr/>
                            <wps:cNvPr id="29" name="Shape 29"/>
                            <wps:spPr>
                              <a:xfrm>
                                <a:off x="723900" y="2400300"/>
                                <a:ext cx="2296633" cy="40668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February 19, 2019</w:t>
                                  </w:r>
                                </w:p>
                              </w:txbxContent>
                            </wps:txbx>
                            <wps:bodyPr anchorCtr="0" anchor="t" bIns="45700" lIns="91425" spcFirstLastPara="1" rIns="91425" wrap="square" tIns="45700">
                              <a:noAutofit/>
                            </wps:bodyPr>
                          </wps:wsp>
                          <wps:wsp>
                            <wps:cNvSpPr/>
                            <wps:cNvPr id="30" name="Shape 30"/>
                            <wps:spPr>
                              <a:xfrm>
                                <a:off x="723900" y="5810250"/>
                                <a:ext cx="2211572" cy="163741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[Clark M. McDonough] [c.mcdonough@rhyta.com] [727-426-8307] [www.whitebear.com]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[2858 Chestnut Street Tampa, FL 33607]</w:t>
                                  </w:r>
                                </w:p>
                              </w:txbxContent>
                            </wps:txbx>
                            <wps:bodyPr anchorCtr="0" anchor="t" bIns="45700" lIns="91425" spcFirstLastPara="1" rIns="91425" wrap="square" tIns="45700">
                              <a:noAutofit/>
                            </wps:bodyPr>
                          </wps:wsp>
                        </wpg:grpSp>
                        <wps:wsp>
                          <wps:cNvSpPr/>
                          <wps:cNvPr id="31" name="Shape 31"/>
                          <wps:spPr>
                            <a:xfrm>
                              <a:off x="4612193" y="6332540"/>
                              <a:ext cx="323850" cy="1549685"/>
                            </a:xfrm>
                            <a:prstGeom prst="rect">
                              <a:avLst/>
                            </a:prstGeom>
                            <a:solidFill>
                              <a:srgbClr val="18181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571500</wp:posOffset>
                </wp:positionV>
                <wp:extent cx="5810250" cy="8172450"/>
                <wp:effectExtent b="0" l="0" r="0" t="0"/>
                <wp:wrapNone/>
                <wp:docPr id="6"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810250" cy="8172450"/>
                        </a:xfrm>
                        <a:prstGeom prst="rect"/>
                        <a:ln/>
                      </pic:spPr>
                    </pic:pic>
                  </a:graphicData>
                </a:graphic>
              </wp:anchor>
            </w:drawing>
          </mc:Fallback>
        </mc:AlternateContent>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406400</wp:posOffset>
                </wp:positionV>
                <wp:extent cx="1238479" cy="1501826"/>
                <wp:effectExtent b="0" l="0" r="0" t="0"/>
                <wp:wrapNone/>
                <wp:docPr id="4" name=""/>
                <a:graphic>
                  <a:graphicData uri="http://schemas.microsoft.com/office/word/2010/wordprocessingShape">
                    <wps:wsp>
                      <wps:cNvSpPr/>
                      <wps:cNvPr id="22" name="Shape 22"/>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406400</wp:posOffset>
                </wp:positionV>
                <wp:extent cx="1238479" cy="1501826"/>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0B">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Executive Summary:</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is a licensed salmon fishing company that has secured a hundred hectares of land for its facilities in a coastal area in Tampa, Florida. The company is involved in catching and processing world-class salmons.</w:t>
      </w:r>
    </w:p>
    <w:p w:rsidR="00000000" w:rsidDel="00000000" w:rsidP="00000000" w:rsidRDefault="00000000" w:rsidRPr="00000000" w14:paraId="000000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Safe Haven leverages on the many opportunities available in the fishing industry. This enables the company to contribute to the growing economy of the United States of America as it plans to export Florida-processed salmons all over the world.</w:t>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Overview:</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commits to sustainable fishing of salmon with the aim of dominating the world market.</w:t>
      </w:r>
    </w:p>
    <w:p w:rsidR="00000000" w:rsidDel="00000000" w:rsidP="00000000" w:rsidRDefault="00000000" w:rsidRPr="00000000" w14:paraId="000000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Guided by the right workplace values and ethics,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cultivates a work environment that provides a humane and sustainable living for the employees, which translates to better job performance and quality-driven product development.</w:t>
      </w:r>
    </w:p>
    <w:p w:rsidR="00000000" w:rsidDel="00000000" w:rsidP="00000000" w:rsidRDefault="00000000" w:rsidRPr="00000000" w14:paraId="000000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seeks to become the top salmon fishing company in the world.</w:t>
      </w:r>
    </w:p>
    <w:p w:rsidR="00000000" w:rsidDel="00000000" w:rsidP="00000000" w:rsidRDefault="00000000" w:rsidRPr="00000000" w14:paraId="000000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fishing industry is expected to grow as more individuals include seafood to their diet because of its taste and health benefits. Fortunately, modern technology lessens the ecological impact of fishing and increases the net profit of fishing companies regardless of economic climate.</w:t>
      </w:r>
    </w:p>
    <w:p w:rsidR="00000000" w:rsidDel="00000000" w:rsidP="00000000" w:rsidRDefault="00000000" w:rsidRPr="00000000" w14:paraId="000000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Fishing Industry</w:t>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Clark M. McDonough</w:t>
      </w:r>
    </w:p>
    <w:p w:rsidR="00000000" w:rsidDel="00000000" w:rsidP="00000000" w:rsidRDefault="00000000" w:rsidRPr="00000000" w14:paraId="000000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[$295,688.12.]</w:t>
      </w:r>
      <w:r w:rsidDel="00000000" w:rsidR="00000000" w:rsidRPr="00000000">
        <w:rPr>
          <w:rFonts w:ascii="Calibri" w:cs="Calibri" w:eastAsia="Calibri" w:hAnsi="Calibri"/>
          <w:color w:val="111111"/>
          <w:rtl w:val="0"/>
        </w:rPr>
        <w:t xml:space="preserve"> The owner, Clark M. McDonough, will invest an amount of </w:t>
      </w:r>
      <w:r w:rsidDel="00000000" w:rsidR="00000000" w:rsidRPr="00000000">
        <w:rPr>
          <w:rFonts w:ascii="Calibri" w:cs="Calibri" w:eastAsia="Calibri" w:hAnsi="Calibri"/>
          <w:color w:val="111111"/>
          <w:highlight w:val="yellow"/>
          <w:rtl w:val="0"/>
        </w:rPr>
        <w:t xml:space="preserve">[$145,688.12]</w:t>
      </w:r>
      <w:r w:rsidDel="00000000" w:rsidR="00000000" w:rsidRPr="00000000">
        <w:rPr>
          <w:rFonts w:ascii="Calibri" w:cs="Calibri" w:eastAsia="Calibri" w:hAnsi="Calibri"/>
          <w:color w:val="111111"/>
          <w:rtl w:val="0"/>
        </w:rPr>
        <w:t xml:space="preserve">. In addition, the Bank of Florida has approved a business loan amount of </w:t>
      </w:r>
      <w:r w:rsidDel="00000000" w:rsidR="00000000" w:rsidRPr="00000000">
        <w:rPr>
          <w:rFonts w:ascii="Calibri" w:cs="Calibri" w:eastAsia="Calibri" w:hAnsi="Calibri"/>
          <w:color w:val="111111"/>
          <w:highlight w:val="yellow"/>
          <w:rtl w:val="0"/>
        </w:rPr>
        <w:t xml:space="preserve">[$150,000.00]</w:t>
      </w:r>
      <w:r w:rsidDel="00000000" w:rsidR="00000000" w:rsidRPr="00000000">
        <w:rPr>
          <w:rFonts w:ascii="Calibri" w:cs="Calibri" w:eastAsia="Calibri" w:hAnsi="Calibri"/>
          <w:color w:val="111111"/>
          <w:rtl w:val="0"/>
        </w:rPr>
        <w:t xml:space="preserve"> and is expected to be credited to the company’s account any moment from now. The amount that will be invested in the company will be principally used for the operational expenses, fishing ships, fish factories, and equipment.</w:t>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tl w:val="0"/>
        </w:rPr>
      </w:r>
    </w:p>
    <w:tbl>
      <w:tblPr>
        <w:tblStyle w:val="Table1"/>
        <w:tblW w:w="8976.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43"/>
        <w:gridCol w:w="3833"/>
        <w:tblGridChange w:id="0">
          <w:tblGrid>
            <w:gridCol w:w="5143"/>
            <w:gridCol w:w="3833"/>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28">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2A">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$ 72,314.03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2C">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$ 223,374.09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2E">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$ 295,688.12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0">
            <w:pPr>
              <w:widowControl w:val="0"/>
              <w:ind w:left="115"/>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2">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4">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$ 141,840.08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$ 60,573.59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$ 20,960.42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$ 223,374.09</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ind w:left="115"/>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$ 145,688.12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$ 295,688.12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$ 72,314.03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$ 223,374.09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$ 72,314.03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$ 295,688.12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ind w:left="115"/>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$ 3,540.59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$ 4,008.01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$ 50,764.19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$ 9,429.17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$ 4,572.07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$ 72,314.03</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115"/>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$ 81,534.01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$ 10,539.30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$ 50,686.80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11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$ 80,613.98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$ 223,374.09</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1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$ 295,688.12</w:t>
            </w:r>
            <w:r w:rsidDel="00000000" w:rsidR="00000000" w:rsidRPr="00000000">
              <w:rPr>
                <w:rtl w:val="0"/>
              </w:rPr>
            </w:r>
          </w:p>
        </w:tc>
      </w:tr>
    </w:tbl>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7C">
      <w:pPr>
        <w:jc w:val="both"/>
        <w:rPr>
          <w:rFonts w:ascii="Calibri" w:cs="Calibri" w:eastAsia="Calibri" w:hAnsi="Calibri"/>
          <w:b w:val="1"/>
          <w:color w:val="111111"/>
        </w:rPr>
      </w:pPr>
      <w:r w:rsidDel="00000000" w:rsidR="00000000" w:rsidRPr="00000000">
        <w:rPr>
          <w:rtl w:val="0"/>
        </w:rPr>
      </w:r>
    </w:p>
    <w:tbl>
      <w:tblPr>
        <w:tblStyle w:val="Table2"/>
        <w:tblW w:w="9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100"/>
        <w:gridCol w:w="3100"/>
        <w:tblGridChange w:id="0">
          <w:tblGrid>
            <w:gridCol w:w="2850"/>
            <w:gridCol w:w="3100"/>
            <w:gridCol w:w="31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060" w:hRule="atLeast"/>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Katherine S. Davis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Problem-Solving, Decision-Making, and Planning</w:t>
            </w:r>
          </w:p>
        </w:tc>
      </w:tr>
      <w:tr>
        <w:trPr>
          <w:trHeight w:val="1060" w:hRule="atLeast"/>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Nancy S. Corpus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Resources and Admin Manager</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Performance Management, Communication, and Bookkeeping</w:t>
            </w:r>
          </w:p>
        </w:tc>
      </w:tr>
    </w:tbl>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tbl>
      <w:tblPr>
        <w:tblStyle w:val="Table3"/>
        <w:tblW w:w="89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3"/>
        <w:gridCol w:w="4695"/>
        <w:tblGridChange w:id="0">
          <w:tblGrid>
            <w:gridCol w:w="4243"/>
            <w:gridCol w:w="4695"/>
          </w:tblGrid>
        </w:tblGridChange>
      </w:tblGrid>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680" w:hRule="atLeast"/>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loan application</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16, 2019</w:t>
            </w:r>
          </w:p>
        </w:tc>
      </w:tr>
      <w:tr>
        <w:trPr>
          <w:trHeight w:val="580" w:hRule="atLeast"/>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of employees</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 progress; interviews are ongoing</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and use of an official website for business purposes</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official website is expected to be fully functional on or before March 1, 2019</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Establishment of business relationship with vendors and restaurants</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ten clients are expected to repeat business with the company</w:t>
            </w:r>
          </w:p>
        </w:tc>
      </w:tr>
    </w:tbl>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 and Services</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regularly conducts fishing trips to keep up with the demand for salmons, fresh or procesed, in the market. The company has fishing grounds in the Pacific and Atlantic Oceans, which are carefully controlled to prevent the overfishing of the salmon population. It uses modern technology to minimize the damage to the marine ecosystems and to ensure that it only offers high-quality salmons.</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 offers]</w:t>
      </w:r>
      <w:r w:rsidDel="00000000" w:rsidR="00000000" w:rsidRPr="00000000">
        <w:rPr>
          <w:rFonts w:ascii="Calibri" w:cs="Calibri" w:eastAsia="Calibri" w:hAnsi="Calibri"/>
          <w:color w:val="111111"/>
          <w:rtl w:val="0"/>
        </w:rPr>
        <w:t xml:space="preserve"> consumers with salmon products that are not only delicious but also a fine addition to a sophisticated palate. The company presents the consumers with the opportunity to indulge the flavors of other countries, like Japan and Italy, at their own convenience.</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 plans]</w:t>
      </w:r>
      <w:r w:rsidDel="00000000" w:rsidR="00000000" w:rsidRPr="00000000">
        <w:rPr>
          <w:rFonts w:ascii="Calibri" w:cs="Calibri" w:eastAsia="Calibri" w:hAnsi="Calibri"/>
          <w:color w:val="111111"/>
          <w:rtl w:val="0"/>
        </w:rPr>
        <w:t xml:space="preserve"> to sell its products at competitive prices,  making sure that it positions itself well in the market. To maximize profits, the company strategizes all of its fishing trips, adapting to daily weather changes and other circumstances. This guarantees bountiful harvest and keeps the overhead as low as possible. The company offers discounts to those who buy products directly from the factory using their own transport vehicles.</w:t>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ind w:left="-144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738512" cy="2285925"/>
                <wp:effectExtent b="0" l="0" r="0" t="0"/>
                <wp:docPr id="3" name=""/>
                <a:graphic>
                  <a:graphicData uri="http://schemas.microsoft.com/office/word/2010/wordprocessingShape">
                    <wps:wsp>
                      <wps:cNvSpPr/>
                      <wps:cNvPr id="21" name="Shape 21"/>
                      <wps:spPr>
                        <a:xfrm>
                          <a:off x="2981507" y="2641800"/>
                          <a:ext cx="4728987"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highlight w:val="yellow"/>
                                <w:vertAlign w:val="baseline"/>
                              </w:rPr>
                              <w:t xml:space="preserve">[Salmon Haven]</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highlight w:val="yellow"/>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($233,090.92/$584,398.56)</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1-0.0.3989</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0.6011 or 60.11%</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738512" cy="2285925"/>
                <wp:effectExtent b="0" l="0" r="0" t="0"/>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738512" cy="2285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will maintain an extensive marketing campaign that will ensure maximum visibility for the business and boost the company’s brand awareness.</w:t>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specific, the company will:</w:t>
      </w:r>
    </w:p>
    <w:p w:rsidR="00000000" w:rsidDel="00000000" w:rsidP="00000000" w:rsidRDefault="00000000" w:rsidRPr="00000000" w14:paraId="000000A6">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relationships with groceries and seafood wholesalers, especially those that prefer bulk orders.</w:t>
      </w:r>
    </w:p>
    <w:p w:rsidR="00000000" w:rsidDel="00000000" w:rsidP="00000000" w:rsidRDefault="00000000" w:rsidRPr="00000000" w14:paraId="000000A7">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Strengthen all existing buyer-seller relationships throughout the market.</w:t>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Most households consume seafood, so it is perfectly reasonable for hotels and restaurants to offer seafood dishes to their customers and guests. On the other hand, many individuals consume salmon as part of their healthy diet. That said,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should be able to sell its products to as many people as possible.</w:t>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tbl>
      <w:tblPr>
        <w:tblStyle w:val="Table4"/>
        <w:tblW w:w="8998.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96"/>
        <w:gridCol w:w="2070"/>
        <w:gridCol w:w="1440"/>
        <w:gridCol w:w="1926"/>
        <w:gridCol w:w="1866"/>
        <w:tblGridChange w:id="0">
          <w:tblGrid>
            <w:gridCol w:w="1696"/>
            <w:gridCol w:w="2070"/>
            <w:gridCol w:w="1440"/>
            <w:gridCol w:w="1926"/>
            <w:gridCol w:w="186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[Salmon Haven]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healthy relationships with a lot of major players in the industry</w:t>
            </w:r>
          </w:p>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the latest fishing equipment</w:t>
            </w:r>
          </w:p>
          <w:p w:rsidR="00000000" w:rsidDel="00000000" w:rsidP="00000000" w:rsidRDefault="00000000" w:rsidRPr="00000000" w14:paraId="000000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an experienced team</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 narrow range of fish products</w:t>
            </w:r>
          </w:p>
        </w:tc>
        <w:tc>
          <w:tcPr>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are a lot of households and businesses that need a daily supply of seafood</w:t>
            </w:r>
          </w:p>
          <w:p w:rsidR="00000000" w:rsidDel="00000000" w:rsidP="00000000" w:rsidRDefault="00000000" w:rsidRPr="00000000" w14:paraId="000000B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Rising demand for salmons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 downturn</w:t>
            </w:r>
          </w:p>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Bad weather and natural disasters</w:t>
            </w:r>
          </w:p>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Unfavorable government policies</w:t>
            </w:r>
          </w:p>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competitors</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Cold Spring Hatchery</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World-class brand</w:t>
            </w:r>
          </w:p>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 wide range of fish products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 products</w:t>
            </w:r>
          </w:p>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customers always recognize world-class brands first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offer high-quality seafood at a more affordable price</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Florida Fish Farms Inc.</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biggest facility in the US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expand globally</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Large facilities produce more fish products</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are expanding their businesses faster</w:t>
            </w:r>
          </w:p>
        </w:tc>
      </w:tr>
    </w:tbl>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sales and marketing teams for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intend to aggressively develop relationships with local and regional fishery cooperations that can assist the company in maintaining precise pricing methods. This way, the company will always have a predictable stream of income. In the future, the company will hire an advertising firm to help publicize the company and its brand, granting a higher chance of directly selling packaged fish products to supermarkets, farmer’s markets, and reputable retailers.</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will utilize the following marketing strategies:</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tbl>
      <w:tblPr>
        <w:tblStyle w:val="Table5"/>
        <w:tblW w:w="8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5"/>
        <w:gridCol w:w="2325"/>
        <w:gridCol w:w="2325"/>
        <w:gridCol w:w="2325"/>
        <w:tblGridChange w:id="0">
          <w:tblGrid>
            <w:gridCol w:w="1985"/>
            <w:gridCol w:w="2325"/>
            <w:gridCol w:w="2325"/>
            <w:gridCol w:w="2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Attend related agriculture and food expos, seminars, and business fairs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Promote the company by giving out brochures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customers should be expected every week.</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advertising</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online marketing team</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online marketing team should be formed within March 2019.</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referrals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discounts to the referrers</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number of customers due to referrals</w:t>
            </w:r>
          </w:p>
        </w:tc>
      </w:tr>
    </w:tbl>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229225" cy="1801504"/>
                <wp:effectExtent b="0" l="0" r="0" t="0"/>
                <wp:docPr id="2" name=""/>
                <a:graphic>
                  <a:graphicData uri="http://schemas.microsoft.com/office/word/2010/wordprocessingGroup">
                    <wpg:wgp>
                      <wpg:cNvGrpSpPr/>
                      <wpg:grpSpPr>
                        <a:xfrm>
                          <a:off x="2731388" y="2879248"/>
                          <a:ext cx="5229225" cy="1801504"/>
                          <a:chOff x="2731388" y="2879248"/>
                          <a:chExt cx="5229225" cy="1801504"/>
                        </a:xfrm>
                      </wpg:grpSpPr>
                      <wpg:grpSp>
                        <wpg:cNvGrpSpPr/>
                        <wpg:grpSpPr>
                          <a:xfrm>
                            <a:off x="2731388" y="2879248"/>
                            <a:ext cx="5229225" cy="1801504"/>
                            <a:chOff x="440025" y="449800"/>
                            <a:chExt cx="5551300" cy="1898605"/>
                          </a:xfrm>
                        </wpg:grpSpPr>
                        <wps:wsp>
                          <wps:cNvSpPr/>
                          <wps:cNvPr id="4" name="Shape 4"/>
                          <wps:spPr>
                            <a:xfrm>
                              <a:off x="440025" y="449800"/>
                              <a:ext cx="5551300" cy="189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50775" y="449800"/>
                              <a:ext cx="13446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6" name="Shape 6"/>
                          <wps:spPr>
                            <a:xfrm>
                              <a:off x="1029175" y="10783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7" name="Shape 7"/>
                          <wps:spPr>
                            <a:xfrm>
                              <a:off x="3295375" y="1078300"/>
                              <a:ext cx="13971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8" name="Shape 8"/>
                          <wps:spPr>
                            <a:xfrm>
                              <a:off x="440025" y="1764021"/>
                              <a:ext cx="921600" cy="584384"/>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CUSTOMER SERVICE</w:t>
                                </w:r>
                              </w:p>
                            </w:txbxContent>
                          </wps:txbx>
                          <wps:bodyPr anchorCtr="0" anchor="ctr" bIns="91425" lIns="91425" spcFirstLastPara="1" rIns="91425" wrap="square" tIns="91425">
                            <a:noAutofit/>
                          </wps:bodyPr>
                        </wps:wsp>
                        <wps:wsp>
                          <wps:cNvSpPr/>
                          <wps:cNvPr id="9" name="Shape 9"/>
                          <wps:spPr>
                            <a:xfrm>
                              <a:off x="2751425" y="1764092"/>
                              <a:ext cx="921600" cy="584292"/>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ACCOUNTING</w:t>
                                </w:r>
                              </w:p>
                            </w:txbxContent>
                          </wps:txbx>
                          <wps:bodyPr anchorCtr="0" anchor="ctr" bIns="91425" lIns="91425" spcFirstLastPara="1" rIns="91425" wrap="square" tIns="91425">
                            <a:noAutofit/>
                          </wps:bodyPr>
                        </wps:wsp>
                        <wps:wsp>
                          <wps:cNvSpPr/>
                          <wps:cNvPr id="10" name="Shape 10"/>
                          <wps:spPr>
                            <a:xfrm>
                              <a:off x="1595725" y="1764092"/>
                              <a:ext cx="921600" cy="584302"/>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FACILITIES MANAGER</w:t>
                                </w:r>
                              </w:p>
                            </w:txbxContent>
                          </wps:txbx>
                          <wps:bodyPr anchorCtr="0" anchor="ctr" bIns="91425" lIns="91425" spcFirstLastPara="1" rIns="91425" wrap="square" tIns="91425">
                            <a:noAutofit/>
                          </wps:bodyPr>
                        </wps:wsp>
                        <wps:wsp>
                          <wps:cNvSpPr/>
                          <wps:cNvPr id="11" name="Shape 11"/>
                          <wps:spPr>
                            <a:xfrm>
                              <a:off x="5069725" y="1764092"/>
                              <a:ext cx="921600" cy="584302"/>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ADMIN</w:t>
                                </w:r>
                              </w:p>
                            </w:txbxContent>
                          </wps:txbx>
                          <wps:bodyPr anchorCtr="0" anchor="ctr" bIns="91425" lIns="91425" spcFirstLastPara="1" rIns="91425" wrap="square" tIns="91425">
                            <a:noAutofit/>
                          </wps:bodyPr>
                        </wps:wsp>
                        <wps:wsp>
                          <wps:cNvSpPr/>
                          <wps:cNvPr id="12" name="Shape 12"/>
                          <wps:spPr>
                            <a:xfrm>
                              <a:off x="3907125" y="1764092"/>
                              <a:ext cx="921600" cy="584281"/>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29225" cy="1801504"/>
                <wp:effectExtent b="0" l="0" r="0" t="0"/>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229225" cy="18015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5" name=""/>
                <a:graphic>
                  <a:graphicData uri="http://schemas.microsoft.com/office/word/2010/wordprocessingShape">
                    <wps:wsp>
                      <wps:cNvSpPr/>
                      <wps:cNvPr id="23" name="Shape 23"/>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0ED">
      <w:pPr>
        <w:ind w:left="720"/>
        <w:jc w:val="both"/>
        <w:rPr>
          <w:rFonts w:ascii="Calibri" w:cs="Calibri" w:eastAsia="Calibri" w:hAnsi="Calibri"/>
          <w:b w:val="1"/>
          <w:color w:val="111111"/>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Evernote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Water Filter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Oxygen Generator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13</w:t>
            </w:r>
          </w:p>
        </w:tc>
      </w:tr>
    </w:tbl>
    <w:p w:rsidR="00000000" w:rsidDel="00000000" w:rsidP="00000000" w:rsidRDefault="00000000" w:rsidRPr="00000000" w14:paraId="000000F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0F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695"/>
        <w:gridCol w:w="4230"/>
        <w:tblGridChange w:id="0">
          <w:tblGrid>
            <w:gridCol w:w="3075"/>
            <w:gridCol w:w="1695"/>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tabs>
                <w:tab w:val="center" w:pos="2015"/>
              </w:tabs>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tab/>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connections suffer from a delay.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has been no business disruption due to the network.</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limited at this time. Need to evaluate how much more needs to be invested for both backup and storage.</w:t>
            </w:r>
          </w:p>
        </w:tc>
      </w:tr>
    </w:tbl>
    <w:p w:rsidR="00000000" w:rsidDel="00000000" w:rsidP="00000000" w:rsidRDefault="00000000" w:rsidRPr="00000000" w14:paraId="000001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rising demand for salmons, particularly from Asian and Mediterranean-themed establishments, will ensure a steady flow of revenue for the next one or, possibly, two decades. </w:t>
      </w:r>
      <w:r w:rsidDel="00000000" w:rsidR="00000000" w:rsidRPr="00000000">
        <w:rPr>
          <w:rFonts w:ascii="Calibri" w:cs="Calibri" w:eastAsia="Calibri" w:hAnsi="Calibri"/>
          <w:color w:val="111111"/>
          <w:highlight w:val="yellow"/>
          <w:rtl w:val="0"/>
        </w:rPr>
        <w:t xml:space="preserve">[Salmon Haven]</w:t>
      </w:r>
      <w:r w:rsidDel="00000000" w:rsidR="00000000" w:rsidRPr="00000000">
        <w:rPr>
          <w:rFonts w:ascii="Calibri" w:cs="Calibri" w:eastAsia="Calibri" w:hAnsi="Calibri"/>
          <w:color w:val="111111"/>
          <w:rtl w:val="0"/>
        </w:rPr>
        <w:t xml:space="preserve"> expects to meet its income goal for the first 24 months of operation.</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2019.</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1A">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2019. </w:t>
      </w:r>
    </w:p>
    <w:p w:rsidR="00000000" w:rsidDel="00000000" w:rsidP="00000000" w:rsidRDefault="00000000" w:rsidRPr="00000000" w14:paraId="000001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2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tbl>
      <w:tblPr>
        <w:tblStyle w:val="Table8"/>
        <w:tblW w:w="9021.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9"/>
        <w:gridCol w:w="2344"/>
        <w:gridCol w:w="2344"/>
        <w:gridCol w:w="2344"/>
        <w:tblGridChange w:id="0">
          <w:tblGrid>
            <w:gridCol w:w="1989"/>
            <w:gridCol w:w="2344"/>
            <w:gridCol w:w="2344"/>
            <w:gridCol w:w="2344"/>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13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$ 655,215.70</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$ 714,349.64</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$ 778,801.42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$ 65,907.57</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$ 71,855.43</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$ 77,915.78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$ 4,909.57</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$ 9,763.33</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$ 11,644.31</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$ 70,817.14</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$ 81,618.76</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$ 89,560.09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$ 584,398.56</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$ 632,730.88</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$ 689,241.33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88.57%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88.50%</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137"/>
              <w:rPr>
                <w:rFonts w:ascii="Calibri" w:cs="Calibri" w:eastAsia="Calibri" w:hAnsi="Calibri"/>
                <w:color w:val="111111"/>
              </w:rPr>
            </w:pP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$ 7,524.13</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$ 7,826.09</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$ 8,225.12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$ 17,559.05</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$ 18,316.92</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$ 19,695.23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$ 203,056.74</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$ 210,849.26</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$ 233,468.36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$ 4,951.00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$ 5,361.16</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$ 5,830.80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$ 233,090.92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$ 242,353.43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$ 267,219.51</w:t>
            </w:r>
            <w:r w:rsidDel="00000000" w:rsidR="00000000" w:rsidRPr="00000000">
              <w:rPr>
                <w:rtl w:val="0"/>
              </w:rPr>
            </w:r>
          </w:p>
        </w:tc>
      </w:tr>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137"/>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$ 351,307.64</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$ 390,377.45</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$ 422,021.82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$ 5,248.85</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$ 5,707.54</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$ 5,089.30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$ 13,844.80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$ 12,372.94</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$ 11,796.25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$ 80,314.57</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$ 89,244.95</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$ 100,831.62</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$ 257,148.27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$ 288,759.56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$ 309,393.95</w:t>
            </w:r>
            <w:r w:rsidDel="00000000" w:rsidR="00000000" w:rsidRPr="00000000">
              <w:rPr>
                <w:rtl w:val="0"/>
              </w:rPr>
            </w:r>
          </w:p>
        </w:tc>
      </w:tr>
    </w:tbl>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tbl>
      <w:tblPr>
        <w:tblStyle w:val="Table9"/>
        <w:tblW w:w="899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10"/>
        <w:gridCol w:w="1440"/>
        <w:gridCol w:w="1620"/>
        <w:gridCol w:w="1620"/>
        <w:tblGridChange w:id="0">
          <w:tblGrid>
            <w:gridCol w:w="4310"/>
            <w:gridCol w:w="1440"/>
            <w:gridCol w:w="1620"/>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21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$ 88,558.20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$ 104,838.89</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$ 123,100.11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$ 35,065.72</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$ 62,902.35</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$ 98,914.01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$ 65,547.94</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$ 72,202.34</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$ 98,865.53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$ 189,171.86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$ 239,943.58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$ 320,879.65</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212"/>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$ 88,593.74</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$ 108,102.64</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$ 127,616.90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$ 8,586.02</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$ 16,033.38</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$ 24,373.20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$ 80,007.72</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$ 92,069.26</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$ 103,243.70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$ 269,179.58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$ 332,012.84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$ 424,123.35</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212"/>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$ 13,649.13</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$ 26,739.52</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$ 40,792.94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$ 116,347.10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$ 108,438.80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$ 99,515.36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$ 129,996.23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$ 135,178.32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$ 140,308.30</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212"/>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$ 141,840.08</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$ 147,006.52</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$ 160,004.73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21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$ 548,504.17</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$ 1,168,764.81</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21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$ 1,853,763.19</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$ 139,183.35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$ 196,834.52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$ 283,815.05</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21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93.40%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21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49.44%</w:t>
            </w:r>
            <w:r w:rsidDel="00000000" w:rsidR="00000000" w:rsidRPr="00000000">
              <w:rPr>
                <w:rtl w:val="0"/>
              </w:rPr>
            </w:r>
          </w:p>
        </w:tc>
      </w:tr>
    </w:tbl>
    <w:p w:rsidR="00000000" w:rsidDel="00000000" w:rsidP="00000000" w:rsidRDefault="00000000" w:rsidRPr="00000000" w14:paraId="000001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b w:val="1"/>
          <w:color w:val="111111"/>
        </w:rPr>
      </w:pPr>
      <w:r w:rsidDel="00000000" w:rsidR="00000000" w:rsidRPr="00000000">
        <w:rPr>
          <w:rtl w:val="0"/>
        </w:rPr>
      </w:r>
    </w:p>
    <w:tbl>
      <w:tblPr>
        <w:tblStyle w:val="Table10"/>
        <w:tblW w:w="9021.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29"/>
        <w:gridCol w:w="2164"/>
        <w:gridCol w:w="2164"/>
        <w:gridCol w:w="2164"/>
        <w:tblGridChange w:id="0">
          <w:tblGrid>
            <w:gridCol w:w="2529"/>
            <w:gridCol w:w="2164"/>
            <w:gridCol w:w="2164"/>
            <w:gridCol w:w="2164"/>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3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$ 88,558.20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$ 104,838.89</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$ 123,100.11</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37"/>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$ 655,215.70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$ 714,349.64</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$ 778,801.42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$ 37,821.19</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$ 43,425.54</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$ 50,316.36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$ 781,595.09</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$ 862,614.07</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$ 952,217.89</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37"/>
              <w:rPr>
                <w:rFonts w:ascii="Calibri" w:cs="Calibri" w:eastAsia="Calibri" w:hAnsi="Calibri"/>
                <w:color w:val="111111"/>
              </w:rPr>
            </w:pP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$ 7,524.13</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$ 7,826.09</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$ 8,225.12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$ 17,559.05</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$ 18,316.92</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$ 19,695.23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$ 203,056.74</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$ 210,849.26</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$ 233,468.36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137"/>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$ 4,951.00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$ 5,361.16</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$ 5,830.80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$ 233,090.92</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$ 242,353.43</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3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$ 267,219.51</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$ 548,504.17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$ 620,260.64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3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$ 684,998.38</w:t>
            </w:r>
            <w:r w:rsidDel="00000000" w:rsidR="00000000" w:rsidRPr="00000000">
              <w:rPr>
                <w:rtl w:val="0"/>
              </w:rPr>
            </w:r>
          </w:p>
        </w:tc>
      </w:tr>
    </w:tbl>
    <w:p w:rsidR="00000000" w:rsidDel="00000000" w:rsidP="00000000" w:rsidRDefault="00000000" w:rsidRPr="00000000" w14:paraId="000002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sz w:val="24"/>
          <w:szCs w:val="24"/>
        </w:rPr>
      </w:pPr>
      <w:r w:rsidDel="00000000" w:rsidR="00000000" w:rsidRPr="00000000">
        <w:rPr>
          <w:rtl w:val="0"/>
        </w:rPr>
      </w:r>
    </w:p>
    <w:p w:rsidR="00000000" w:rsidDel="00000000" w:rsidP="00000000" w:rsidRDefault="00000000" w:rsidRPr="00000000" w14:paraId="00000226">
      <w:pPr>
        <w:rPr>
          <w:rFonts w:ascii="Calibri" w:cs="Calibri" w:eastAsia="Calibri" w:hAnsi="Calibri"/>
          <w:color w:val="111111"/>
        </w:rPr>
      </w:pPr>
      <w:r w:rsidDel="00000000" w:rsidR="00000000" w:rsidRPr="00000000">
        <w:rPr>
          <w:rtl w:val="0"/>
        </w:rPr>
      </w:r>
    </w:p>
    <w:sectPr>
      <w:footerReference r:id="rId13"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-380999</wp:posOffset>
              </wp:positionV>
              <wp:extent cx="333375" cy="1559210"/>
              <wp:effectExtent b="0" l="0" r="0" t="0"/>
              <wp:wrapNone/>
              <wp:docPr id="1" name=""/>
              <a:graphic>
                <a:graphicData uri="http://schemas.microsoft.com/office/word/2010/wordprocessingShape">
                  <wps:wsp>
                    <wps:cNvSpPr/>
                    <wps:cNvPr id="2" name="Shape 2"/>
                    <wps:spPr>
                      <a:xfrm>
                        <a:off x="5184075" y="3005158"/>
                        <a:ext cx="323850" cy="1549685"/>
                      </a:xfrm>
                      <a:prstGeom prst="rect">
                        <a:avLst/>
                      </a:prstGeom>
                      <a:solidFill>
                        <a:srgbClr val="18181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-380999</wp:posOffset>
              </wp:positionV>
              <wp:extent cx="333375" cy="155921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33375" cy="15592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