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31849b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color w:val="31849b"/>
          <w:sz w:val="52"/>
          <w:szCs w:val="52"/>
          <w:rtl w:val="0"/>
        </w:rPr>
        <w:t xml:space="preserve">WORK ORDER CHECKLIST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66"/>
        <w:gridCol w:w="373"/>
        <w:gridCol w:w="2239"/>
        <w:gridCol w:w="2239"/>
        <w:gridCol w:w="2643"/>
        <w:tblGridChange w:id="0">
          <w:tblGrid>
            <w:gridCol w:w="1866"/>
            <w:gridCol w:w="373"/>
            <w:gridCol w:w="2239"/>
            <w:gridCol w:w="2239"/>
            <w:gridCol w:w="2643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Company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Date:</w:t>
            </w:r>
          </w:p>
        </w:tc>
        <w:tc>
          <w:tcPr>
            <w:gridSpan w:val="4"/>
            <w:tcBorders>
              <w:top w:color="bfbfbf" w:space="0" w:sz="4" w:val="single"/>
              <w:bottom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Business 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bottom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bottom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1 - Strongly Agree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2 - Agree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3 - Neutral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4 – Needs Improvement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9.999999999998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5502"/>
        <w:gridCol w:w="963"/>
        <w:gridCol w:w="963"/>
        <w:gridCol w:w="963"/>
        <w:gridCol w:w="959"/>
        <w:tblGridChange w:id="0">
          <w:tblGrid>
            <w:gridCol w:w="5502"/>
            <w:gridCol w:w="963"/>
            <w:gridCol w:w="963"/>
            <w:gridCol w:w="963"/>
            <w:gridCol w:w="959"/>
          </w:tblGrid>
        </w:tblGridChange>
      </w:tblGrid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ORDER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trHeight w:val="3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4"/>
                <w:szCs w:val="24"/>
                <w:rtl w:val="0"/>
              </w:rPr>
              <w:t xml:space="preserve">PRODUCT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 is exactly the same as found on the online shop.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Works well.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Features are functional.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Defects are present.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4"/>
                <w:szCs w:val="24"/>
                <w:rtl w:val="0"/>
              </w:rPr>
              <w:t xml:space="preserve">CUSTOMER SERVICE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Customer services hotlines are available.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Customer service representatives are accommodating.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Every question is entertained.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processes are not hard to follow.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1849b"/>
                <w:sz w:val="24"/>
                <w:szCs w:val="24"/>
                <w:rtl w:val="0"/>
              </w:rPr>
              <w:t xml:space="preserve">PAYMENT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Price is fair &amp; justifiable.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Taxes are justifiable to the product.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Payment is hassle-free.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Delivery is hassle-free.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Remarks: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781050" cy="704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60238" y="3432338"/>
                        <a:ext cx="771525" cy="695325"/>
                      </a:xfrm>
                      <a:prstGeom prst="rect">
                        <a:avLst/>
                      </a:prstGeom>
                      <a:solidFill>
                        <a:srgbClr val="31859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781050" cy="704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05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