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a4c2f4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a4c2f4"/>
          <w:sz w:val="48"/>
          <w:szCs w:val="48"/>
          <w:rtl w:val="0"/>
        </w:rPr>
        <w:t xml:space="preserve">CONSTRUCTION SAFETY CHECKLIST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High-rise Construction Service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412"/>
        <w:gridCol w:w="1801"/>
        <w:gridCol w:w="1801"/>
        <w:gridCol w:w="2336"/>
        <w:tblGridChange w:id="0">
          <w:tblGrid>
            <w:gridCol w:w="3412"/>
            <w:gridCol w:w="1801"/>
            <w:gridCol w:w="1801"/>
            <w:gridCol w:w="2336"/>
          </w:tblGrid>
        </w:tblGridChange>
      </w:tblGrid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Hard Helmet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Boots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Construction Gloves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Eye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 Muffs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Site Fall Protection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&amp; Functional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Site Electrical Wiring Hazards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&amp; Secured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Heat Temperature Hazards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&amp; Secured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Construction Equipment Hazards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&amp; Secured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 Paint Hazards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&amp; Secured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Accessible Fire Exit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Secured &amp; Functional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 Health Assistance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Proper Construction Attire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